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6B" w:rsidRDefault="00EC646B">
      <w:pPr>
        <w:pStyle w:val="ConsPlusTitlePage"/>
      </w:pPr>
      <w:r>
        <w:t xml:space="preserve">Документ предоставлен </w:t>
      </w:r>
      <w:hyperlink r:id="rId4" w:history="1">
        <w:r>
          <w:rPr>
            <w:color w:val="0000FF"/>
          </w:rPr>
          <w:t>КонсультантПлюс</w:t>
        </w:r>
      </w:hyperlink>
      <w:r>
        <w:br/>
      </w:r>
    </w:p>
    <w:p w:rsidR="00EC646B" w:rsidRDefault="00EC646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C646B">
        <w:tc>
          <w:tcPr>
            <w:tcW w:w="4677" w:type="dxa"/>
            <w:tcBorders>
              <w:top w:val="nil"/>
              <w:left w:val="nil"/>
              <w:bottom w:val="nil"/>
              <w:right w:val="nil"/>
            </w:tcBorders>
          </w:tcPr>
          <w:p w:rsidR="00EC646B" w:rsidRDefault="00EC646B">
            <w:pPr>
              <w:pStyle w:val="ConsPlusNormal"/>
            </w:pPr>
            <w:r>
              <w:t>3 апреля 2018 года</w:t>
            </w:r>
          </w:p>
        </w:tc>
        <w:tc>
          <w:tcPr>
            <w:tcW w:w="4677" w:type="dxa"/>
            <w:tcBorders>
              <w:top w:val="nil"/>
              <w:left w:val="nil"/>
              <w:bottom w:val="nil"/>
              <w:right w:val="nil"/>
            </w:tcBorders>
          </w:tcPr>
          <w:p w:rsidR="00EC646B" w:rsidRDefault="00EC646B">
            <w:pPr>
              <w:pStyle w:val="ConsPlusNormal"/>
              <w:jc w:val="right"/>
            </w:pPr>
            <w:r>
              <w:t>N 64-ФЗ</w:t>
            </w:r>
          </w:p>
        </w:tc>
      </w:tr>
    </w:tbl>
    <w:p w:rsidR="00EC646B" w:rsidRDefault="00EC646B">
      <w:pPr>
        <w:pStyle w:val="ConsPlusNormal"/>
        <w:pBdr>
          <w:top w:val="single" w:sz="6" w:space="0" w:color="auto"/>
        </w:pBdr>
        <w:spacing w:before="100" w:after="100"/>
        <w:jc w:val="both"/>
        <w:rPr>
          <w:sz w:val="2"/>
          <w:szCs w:val="2"/>
        </w:rPr>
      </w:pPr>
    </w:p>
    <w:p w:rsidR="00EC646B" w:rsidRDefault="00EC646B">
      <w:pPr>
        <w:pStyle w:val="ConsPlusNormal"/>
        <w:jc w:val="center"/>
      </w:pPr>
    </w:p>
    <w:p w:rsidR="00EC646B" w:rsidRDefault="00EC646B">
      <w:pPr>
        <w:pStyle w:val="ConsPlusTitle"/>
        <w:jc w:val="center"/>
      </w:pPr>
      <w:r>
        <w:t>РОССИЙСКАЯ ФЕДЕРАЦИЯ</w:t>
      </w:r>
    </w:p>
    <w:p w:rsidR="00EC646B" w:rsidRDefault="00EC646B">
      <w:pPr>
        <w:pStyle w:val="ConsPlusTitle"/>
        <w:jc w:val="center"/>
      </w:pPr>
    </w:p>
    <w:p w:rsidR="00EC646B" w:rsidRDefault="00EC646B">
      <w:pPr>
        <w:pStyle w:val="ConsPlusTitle"/>
        <w:jc w:val="center"/>
      </w:pPr>
      <w:r>
        <w:t>ФЕДЕРАЛЬНЫЙ ЗАКОН</w:t>
      </w:r>
    </w:p>
    <w:p w:rsidR="00EC646B" w:rsidRDefault="00EC646B">
      <w:pPr>
        <w:pStyle w:val="ConsPlusTitle"/>
        <w:jc w:val="center"/>
      </w:pPr>
    </w:p>
    <w:p w:rsidR="00EC646B" w:rsidRDefault="00EC646B">
      <w:pPr>
        <w:pStyle w:val="ConsPlusTitle"/>
        <w:jc w:val="center"/>
      </w:pPr>
      <w:r>
        <w:t>О ВНЕСЕНИИ ИЗМЕНЕНИЙ</w:t>
      </w:r>
    </w:p>
    <w:p w:rsidR="00EC646B" w:rsidRDefault="00EC646B">
      <w:pPr>
        <w:pStyle w:val="ConsPlusTitle"/>
        <w:jc w:val="center"/>
      </w:pPr>
      <w:r>
        <w:t>В ФЕДЕРАЛЬНЫЙ ЗАКОН "О ВАЛЮТНОМ РЕГУЛИРОВАНИИ И ВАЛЮТНОМ</w:t>
      </w:r>
    </w:p>
    <w:p w:rsidR="00EC646B" w:rsidRDefault="00EC646B">
      <w:pPr>
        <w:pStyle w:val="ConsPlusTitle"/>
        <w:jc w:val="center"/>
      </w:pPr>
      <w:r>
        <w:t>КОНТРОЛЕ" И СТАТЬЮ 15.25 КОДЕКСА РОССИЙСКОЙ ФЕДЕРАЦИИ</w:t>
      </w:r>
    </w:p>
    <w:p w:rsidR="00EC646B" w:rsidRDefault="00EC646B">
      <w:pPr>
        <w:pStyle w:val="ConsPlusTitle"/>
        <w:jc w:val="center"/>
      </w:pPr>
      <w:r>
        <w:t>ОБ АДМИНИСТРАТИВНЫХ ПРАВОНАРУШЕНИЯХ</w:t>
      </w:r>
    </w:p>
    <w:p w:rsidR="00EC646B" w:rsidRDefault="00EC646B">
      <w:pPr>
        <w:pStyle w:val="ConsPlusNormal"/>
        <w:jc w:val="center"/>
      </w:pPr>
    </w:p>
    <w:p w:rsidR="00EC646B" w:rsidRDefault="00EC646B">
      <w:pPr>
        <w:pStyle w:val="ConsPlusNormal"/>
        <w:jc w:val="right"/>
      </w:pPr>
      <w:r>
        <w:t>Принят</w:t>
      </w:r>
    </w:p>
    <w:p w:rsidR="00EC646B" w:rsidRDefault="00EC646B">
      <w:pPr>
        <w:pStyle w:val="ConsPlusNormal"/>
        <w:jc w:val="right"/>
      </w:pPr>
      <w:r>
        <w:t>Государственной Думой</w:t>
      </w:r>
    </w:p>
    <w:p w:rsidR="00EC646B" w:rsidRDefault="00EC646B">
      <w:pPr>
        <w:pStyle w:val="ConsPlusNormal"/>
        <w:jc w:val="right"/>
      </w:pPr>
      <w:r>
        <w:t>23 марта 2018 года</w:t>
      </w:r>
    </w:p>
    <w:p w:rsidR="00EC646B" w:rsidRDefault="00EC646B">
      <w:pPr>
        <w:pStyle w:val="ConsPlusNormal"/>
        <w:jc w:val="right"/>
      </w:pPr>
    </w:p>
    <w:p w:rsidR="00EC646B" w:rsidRDefault="00EC646B">
      <w:pPr>
        <w:pStyle w:val="ConsPlusNormal"/>
        <w:jc w:val="right"/>
      </w:pPr>
      <w:r>
        <w:t>Одобрен</w:t>
      </w:r>
    </w:p>
    <w:p w:rsidR="00EC646B" w:rsidRDefault="00EC646B">
      <w:pPr>
        <w:pStyle w:val="ConsPlusNormal"/>
        <w:jc w:val="right"/>
      </w:pPr>
      <w:r>
        <w:t>Советом Федерации</w:t>
      </w:r>
    </w:p>
    <w:p w:rsidR="00EC646B" w:rsidRDefault="00EC646B">
      <w:pPr>
        <w:pStyle w:val="ConsPlusNormal"/>
        <w:jc w:val="right"/>
      </w:pPr>
      <w:r>
        <w:t>28 марта 2018 года</w:t>
      </w:r>
    </w:p>
    <w:p w:rsidR="00EC646B" w:rsidRDefault="00EC646B">
      <w:pPr>
        <w:pStyle w:val="ConsPlusNormal"/>
        <w:jc w:val="right"/>
      </w:pPr>
    </w:p>
    <w:p w:rsidR="00EC646B" w:rsidRDefault="00EC646B">
      <w:pPr>
        <w:pStyle w:val="ConsPlusTitle"/>
        <w:ind w:firstLine="540"/>
        <w:jc w:val="both"/>
        <w:outlineLvl w:val="0"/>
      </w:pPr>
      <w:r>
        <w:t>Статья 1</w:t>
      </w:r>
    </w:p>
    <w:p w:rsidR="00EC646B" w:rsidRDefault="00EC646B">
      <w:pPr>
        <w:pStyle w:val="ConsPlusNormal"/>
        <w:ind w:firstLine="540"/>
        <w:jc w:val="both"/>
      </w:pPr>
    </w:p>
    <w:p w:rsidR="00EC646B" w:rsidRDefault="00EC646B">
      <w:pPr>
        <w:pStyle w:val="ConsPlusNormal"/>
        <w:ind w:firstLine="540"/>
        <w:jc w:val="both"/>
      </w:pPr>
      <w:r>
        <w:t xml:space="preserve">Внести в Федеральный </w:t>
      </w:r>
      <w:hyperlink r:id="rId5" w:history="1">
        <w:r>
          <w:rPr>
            <w:color w:val="0000FF"/>
          </w:rPr>
          <w:t>закон</w:t>
        </w:r>
      </w:hyperlink>
      <w:r>
        <w:t xml:space="preserve">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2006, N 31, ст. 3430; 2007, N 1, ст. 30; N 22, ст. 2563; N 29, ст. 3480; N 45, ст. 5419; 2008, N 30, ст. 3606; 2010, N 47, ст. 6028; 2011, N 7, ст. 905; N 27, ст. 3873; N 29, ст. 4291; N 30, ст. 4584; N 48, ст. 6728; N 50, ст. 7348, 7351; 2013, N 11, ст. 1076; N 19, ст. 2329; N 27, ст. 3447; N 30, ст. 4084; 2014, N 11, ст. 1098; N 19, ст. 2317; N 30, ст. 4219; N 45, ст. 6154; 2015, N 27, ст. 3972, 4001; N 48, ст. 6716; 2016, N 1, ст. 50; N 27, ст. 4218; 2017, N 30, ст. 4456; N 47, ст. 6851; 2018, N 1, ст. 11, 54; N 11, ст. 1579) следующие изменения:</w:t>
      </w:r>
    </w:p>
    <w:p w:rsidR="00EC646B" w:rsidRDefault="00EC646B">
      <w:pPr>
        <w:pStyle w:val="ConsPlusNormal"/>
        <w:spacing w:before="220"/>
        <w:ind w:firstLine="540"/>
        <w:jc w:val="both"/>
      </w:pPr>
      <w:r>
        <w:t xml:space="preserve">1) в наименовании </w:t>
      </w:r>
      <w:hyperlink r:id="rId6" w:history="1">
        <w:r>
          <w:rPr>
            <w:color w:val="0000FF"/>
          </w:rPr>
          <w:t>главы 3</w:t>
        </w:r>
      </w:hyperlink>
      <w:r>
        <w:t xml:space="preserve"> слова "и обязательная продажа части валютной выручки" исключить;</w:t>
      </w:r>
    </w:p>
    <w:p w:rsidR="00EC646B" w:rsidRDefault="00EC646B">
      <w:pPr>
        <w:pStyle w:val="ConsPlusNormal"/>
        <w:spacing w:before="220"/>
        <w:ind w:firstLine="540"/>
        <w:jc w:val="both"/>
      </w:pPr>
      <w:r>
        <w:t xml:space="preserve">2) в </w:t>
      </w:r>
      <w:hyperlink r:id="rId7" w:history="1">
        <w:r>
          <w:rPr>
            <w:color w:val="0000FF"/>
          </w:rPr>
          <w:t>статье 19</w:t>
        </w:r>
      </w:hyperlink>
      <w:r>
        <w:t>:</w:t>
      </w:r>
    </w:p>
    <w:p w:rsidR="00EC646B" w:rsidRDefault="00EC646B">
      <w:pPr>
        <w:pStyle w:val="ConsPlusNormal"/>
        <w:spacing w:before="220"/>
        <w:ind w:firstLine="540"/>
        <w:jc w:val="both"/>
      </w:pPr>
      <w:r>
        <w:t xml:space="preserve">а) в </w:t>
      </w:r>
      <w:hyperlink r:id="rId8" w:history="1">
        <w:r>
          <w:rPr>
            <w:color w:val="0000FF"/>
          </w:rPr>
          <w:t>части 1</w:t>
        </w:r>
      </w:hyperlink>
      <w:r>
        <w:t>:</w:t>
      </w:r>
    </w:p>
    <w:p w:rsidR="00EC646B" w:rsidRDefault="00EC646B">
      <w:pPr>
        <w:pStyle w:val="ConsPlusNormal"/>
        <w:spacing w:before="220"/>
        <w:ind w:firstLine="540"/>
        <w:jc w:val="both"/>
      </w:pPr>
      <w:hyperlink r:id="rId9" w:history="1">
        <w:r>
          <w:rPr>
            <w:color w:val="0000FF"/>
          </w:rPr>
          <w:t>абзац первый</w:t>
        </w:r>
      </w:hyperlink>
      <w:r>
        <w:t xml:space="preserve"> изложить в следующей редакции:</w:t>
      </w:r>
    </w:p>
    <w:p w:rsidR="00EC646B" w:rsidRDefault="00EC646B">
      <w:pPr>
        <w:pStyle w:val="ConsPlusNormal"/>
        <w:spacing w:before="220"/>
        <w:ind w:firstLine="540"/>
        <w:jc w:val="both"/>
      </w:pPr>
      <w:r>
        <w:t>"1. При осуществлении внешнеторговой деятельности и (или) при предоставлении резидентами иностранной валюты или валюты Российской Федерации в виде займов нерезидентам резиденты, если иное не предусмотрено настоящим Федеральным законом, обязаны в сроки, предусмотренные внешнеторговыми договорами (контрактами) и (или) договорами займа, обеспечить:";</w:t>
      </w:r>
    </w:p>
    <w:p w:rsidR="00EC646B" w:rsidRDefault="00EC646B">
      <w:pPr>
        <w:pStyle w:val="ConsPlusNormal"/>
        <w:spacing w:before="220"/>
        <w:ind w:firstLine="540"/>
        <w:jc w:val="both"/>
      </w:pPr>
      <w:hyperlink r:id="rId10" w:history="1">
        <w:r>
          <w:rPr>
            <w:color w:val="0000FF"/>
          </w:rPr>
          <w:t>дополнить</w:t>
        </w:r>
      </w:hyperlink>
      <w:r>
        <w:t xml:space="preserve"> пунктом 3 следующего содержания:</w:t>
      </w:r>
    </w:p>
    <w:p w:rsidR="00EC646B" w:rsidRDefault="00EC646B">
      <w:pPr>
        <w:pStyle w:val="ConsPlusNormal"/>
        <w:spacing w:before="220"/>
        <w:ind w:firstLine="540"/>
        <w:jc w:val="both"/>
      </w:pPr>
      <w:r>
        <w:t>"3)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договоров займа.";</w:t>
      </w:r>
    </w:p>
    <w:p w:rsidR="00EC646B" w:rsidRDefault="00EC646B">
      <w:pPr>
        <w:pStyle w:val="ConsPlusNormal"/>
        <w:spacing w:before="220"/>
        <w:ind w:firstLine="540"/>
        <w:jc w:val="both"/>
      </w:pPr>
      <w:r>
        <w:t xml:space="preserve">б) в </w:t>
      </w:r>
      <w:hyperlink r:id="rId11" w:history="1">
        <w:r>
          <w:rPr>
            <w:color w:val="0000FF"/>
          </w:rPr>
          <w:t>части 1.1</w:t>
        </w:r>
      </w:hyperlink>
      <w:r>
        <w:t>:</w:t>
      </w:r>
    </w:p>
    <w:p w:rsidR="00EC646B" w:rsidRDefault="00EC646B">
      <w:pPr>
        <w:pStyle w:val="ConsPlusNormal"/>
        <w:spacing w:before="220"/>
        <w:ind w:firstLine="540"/>
        <w:jc w:val="both"/>
      </w:pPr>
      <w:hyperlink r:id="rId12" w:history="1">
        <w:r>
          <w:rPr>
            <w:color w:val="0000FF"/>
          </w:rPr>
          <w:t>абзац первый</w:t>
        </w:r>
      </w:hyperlink>
      <w:r>
        <w:t xml:space="preserve"> после слов "внешнеторговой деятельности" дополнить словами "и (или) при предоставлении резидентами нерезидентам займов";</w:t>
      </w:r>
    </w:p>
    <w:p w:rsidR="00EC646B" w:rsidRDefault="00EC646B">
      <w:pPr>
        <w:pStyle w:val="ConsPlusNormal"/>
        <w:spacing w:before="220"/>
        <w:ind w:firstLine="540"/>
        <w:jc w:val="both"/>
      </w:pPr>
      <w:hyperlink r:id="rId13" w:history="1">
        <w:r>
          <w:rPr>
            <w:color w:val="0000FF"/>
          </w:rPr>
          <w:t>дополнить</w:t>
        </w:r>
      </w:hyperlink>
      <w:r>
        <w:t xml:space="preserve"> пунктом 3 следующего содержания:</w:t>
      </w:r>
    </w:p>
    <w:p w:rsidR="00EC646B" w:rsidRDefault="00EC646B">
      <w:pPr>
        <w:pStyle w:val="ConsPlusNormal"/>
        <w:spacing w:before="220"/>
        <w:ind w:firstLine="540"/>
        <w:jc w:val="both"/>
      </w:pPr>
      <w:r>
        <w:t>"3) об ожидаемых в соответствии с условиями договоров займа сроках исполнения нерезидентами обязательств по возврату предоставленных им резидентами займов.";</w:t>
      </w:r>
    </w:p>
    <w:p w:rsidR="00EC646B" w:rsidRDefault="00EC646B">
      <w:pPr>
        <w:pStyle w:val="ConsPlusNormal"/>
        <w:spacing w:before="220"/>
        <w:ind w:firstLine="540"/>
        <w:jc w:val="both"/>
      </w:pPr>
      <w:r>
        <w:t xml:space="preserve">в) в </w:t>
      </w:r>
      <w:hyperlink r:id="rId14" w:history="1">
        <w:r>
          <w:rPr>
            <w:color w:val="0000FF"/>
          </w:rPr>
          <w:t>части 2</w:t>
        </w:r>
      </w:hyperlink>
      <w:r>
        <w:t>:</w:t>
      </w:r>
    </w:p>
    <w:p w:rsidR="00EC646B" w:rsidRDefault="00EC646B">
      <w:pPr>
        <w:pStyle w:val="ConsPlusNormal"/>
        <w:spacing w:before="220"/>
        <w:ind w:firstLine="540"/>
        <w:jc w:val="both"/>
      </w:pPr>
      <w:r>
        <w:t xml:space="preserve">в </w:t>
      </w:r>
      <w:hyperlink r:id="rId15" w:history="1">
        <w:r>
          <w:rPr>
            <w:color w:val="0000FF"/>
          </w:rPr>
          <w:t>пункте 1</w:t>
        </w:r>
      </w:hyperlink>
      <w:r>
        <w:t xml:space="preserve"> слова "валютной выручки" заменить словами "иностранной валюты или валюты Российской Федерации";</w:t>
      </w:r>
    </w:p>
    <w:p w:rsidR="00EC646B" w:rsidRDefault="00EC646B">
      <w:pPr>
        <w:pStyle w:val="ConsPlusNormal"/>
        <w:spacing w:before="220"/>
        <w:ind w:firstLine="540"/>
        <w:jc w:val="both"/>
      </w:pPr>
      <w:r>
        <w:t xml:space="preserve">в </w:t>
      </w:r>
      <w:hyperlink r:id="rId16" w:history="1">
        <w:r>
          <w:rPr>
            <w:color w:val="0000FF"/>
          </w:rPr>
          <w:t>пункте 6</w:t>
        </w:r>
      </w:hyperlink>
      <w:r>
        <w:t xml:space="preserve"> слова "валютной выручки" заменить словами "иностранной валюты или валюты Российской Федерации";</w:t>
      </w:r>
    </w:p>
    <w:p w:rsidR="00EC646B" w:rsidRDefault="00EC646B">
      <w:pPr>
        <w:pStyle w:val="ConsPlusNormal"/>
        <w:spacing w:before="220"/>
        <w:ind w:firstLine="540"/>
        <w:jc w:val="both"/>
      </w:pPr>
      <w:hyperlink r:id="rId17" w:history="1">
        <w:r>
          <w:rPr>
            <w:color w:val="0000FF"/>
          </w:rPr>
          <w:t>дополнить</w:t>
        </w:r>
      </w:hyperlink>
      <w:r>
        <w:t xml:space="preserve"> пунктами 8 - 10 следующего содержания:</w:t>
      </w:r>
    </w:p>
    <w:p w:rsidR="00EC646B" w:rsidRDefault="00EC646B">
      <w:pPr>
        <w:pStyle w:val="ConsPlusNormal"/>
        <w:spacing w:before="220"/>
        <w:ind w:firstLine="540"/>
        <w:jc w:val="both"/>
      </w:pPr>
      <w:r>
        <w:t xml:space="preserve">"8) при предоставлении резидентом нерезиденту иностранной валюты или валюты Российской Федерации по договору займа, связанному с финансированием геологического изучения, разведки и (или) добычи полезных ископаемых, перечень которых указан в </w:t>
      </w:r>
      <w:hyperlink r:id="rId18" w:history="1">
        <w:r>
          <w:rPr>
            <w:color w:val="0000FF"/>
          </w:rPr>
          <w:t>статье 337</w:t>
        </w:r>
      </w:hyperlink>
      <w:r>
        <w:t xml:space="preserve"> Налогового кодекса Российской Федерации, в случае, если указанный договор займа содержит условия о том, что возврат предоставленных денежных средств зависит от факта и объема добычи полезных ископаемых и (или) размера выручки от их реализации и при наступлении указанных в договоре займа условий происходит невозврат денежных средств;</w:t>
      </w:r>
    </w:p>
    <w:p w:rsidR="00EC646B" w:rsidRDefault="00EC646B">
      <w:pPr>
        <w:pStyle w:val="ConsPlusNormal"/>
        <w:spacing w:before="220"/>
        <w:ind w:firstLine="540"/>
        <w:jc w:val="both"/>
      </w:pPr>
      <w:r>
        <w:t>9) при проведении зачета встречных однородных требований по договорам займа, заключенным между резидентом и нерезидентом, при условии, что встречное требование нерезидента возникло в результате предоставления резиденту займа посредством зачисления денежных средств на счет резидента, открытый в уполномоченном банке;</w:t>
      </w:r>
    </w:p>
    <w:p w:rsidR="00EC646B" w:rsidRDefault="00EC646B">
      <w:pPr>
        <w:pStyle w:val="ConsPlusNormal"/>
        <w:spacing w:before="220"/>
        <w:ind w:firstLine="540"/>
        <w:jc w:val="both"/>
      </w:pPr>
      <w:r>
        <w:t>10) при предоставлении резидентом нерезиденту иностранной валюты или валюты Российской Федерации по договору займа, связанному с финансированием инвестиционной и (или) инновационной деятельности, в случае, если при наступлении указанных в договоре займа условий происходит невозврат денежных средств в сумме вклада резидента в уставный капитал, ценные бумаги или приобретение долговых обязательств того же нерезидента, либо в случае, если происходит невозврат денежных средств по причине несостоятельности (банкротства) нерезидента, при этом резидент должен отвечать одному из следующих условий:</w:t>
      </w:r>
    </w:p>
    <w:p w:rsidR="00EC646B" w:rsidRDefault="00EC646B">
      <w:pPr>
        <w:pStyle w:val="ConsPlusNormal"/>
        <w:spacing w:before="220"/>
        <w:ind w:firstLine="540"/>
        <w:jc w:val="both"/>
      </w:pPr>
      <w:r>
        <w:t xml:space="preserve">а) являться юридическим лицом, включенным в соответствии с </w:t>
      </w:r>
      <w:hyperlink r:id="rId19" w:history="1">
        <w:r>
          <w:rPr>
            <w:color w:val="0000FF"/>
          </w:rPr>
          <w:t>подпунктом "д" пункта 1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в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Pr>
            <w:color w:val="0000FF"/>
          </w:rPr>
          <w:t>законом</w:t>
        </w:r>
      </w:hyperlink>
      <w:r>
        <w:t xml:space="preserve"> от 23 августа 1996 года N 127-ФЗ "О науке и государственной научно-технической политике";</w:t>
      </w:r>
    </w:p>
    <w:p w:rsidR="00EC646B" w:rsidRDefault="00EC646B">
      <w:pPr>
        <w:pStyle w:val="ConsPlusNormal"/>
        <w:spacing w:before="220"/>
        <w:ind w:firstLine="540"/>
        <w:jc w:val="both"/>
      </w:pPr>
      <w:r>
        <w:t>б) являться хозяйственным обществом, не менее пятидесяти процентов акций (долей в уставном капитале) которого находится в собственности указанных в подпункте "а" настоящего пункта юридических лиц, или хозяйственным обществом, в котором указанные в подпункте "а" настоящего пункта юридические лица имеют право прямо и (или) косвенно распоряжаться не менее чем пятьюдесятью процентами голосов, приходящихся на голосующие акции (доли), составляющие уставный капитал такого хозяйственного общества;</w:t>
      </w:r>
    </w:p>
    <w:p w:rsidR="00EC646B" w:rsidRDefault="00EC646B">
      <w:pPr>
        <w:pStyle w:val="ConsPlusNormal"/>
        <w:spacing w:before="220"/>
        <w:ind w:firstLine="540"/>
        <w:jc w:val="both"/>
      </w:pPr>
      <w:r>
        <w:t>в) являться управляющим товарищем инвестиционного товарищества, в котором доля указанных в подпункте "а" настоящего пункта юридических лиц в праве собственности на общее имущество товарищей составляет не менее пятидесяти процентов;</w:t>
      </w:r>
    </w:p>
    <w:p w:rsidR="00EC646B" w:rsidRDefault="00EC646B">
      <w:pPr>
        <w:pStyle w:val="ConsPlusNormal"/>
        <w:spacing w:before="220"/>
        <w:ind w:firstLine="540"/>
        <w:jc w:val="both"/>
      </w:pPr>
      <w:r>
        <w:lastRenderedPageBreak/>
        <w:t>г) являться управляющей компанией инвестиционного фонда, не менее пятидесяти процентов акций (инвестиционных паев) которого принадлежит указанным в подпункте "а" настоящего пункта юридическим лицам.";</w:t>
      </w:r>
    </w:p>
    <w:p w:rsidR="00EC646B" w:rsidRDefault="00EC646B">
      <w:pPr>
        <w:pStyle w:val="ConsPlusNormal"/>
        <w:spacing w:before="220"/>
        <w:ind w:firstLine="540"/>
        <w:jc w:val="both"/>
      </w:pPr>
      <w:r>
        <w:t xml:space="preserve">г) в </w:t>
      </w:r>
      <w:hyperlink r:id="rId21" w:history="1">
        <w:r>
          <w:rPr>
            <w:color w:val="0000FF"/>
          </w:rPr>
          <w:t>части 4</w:t>
        </w:r>
      </w:hyperlink>
      <w:r>
        <w:t xml:space="preserve"> слова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заменить словами "страховой выплаты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по такому договору страхования,";</w:t>
      </w:r>
    </w:p>
    <w:p w:rsidR="00EC646B" w:rsidRDefault="00EC646B">
      <w:pPr>
        <w:pStyle w:val="ConsPlusNormal"/>
        <w:spacing w:before="220"/>
        <w:ind w:firstLine="540"/>
        <w:jc w:val="both"/>
      </w:pPr>
      <w:r>
        <w:t xml:space="preserve">3) </w:t>
      </w:r>
      <w:hyperlink r:id="rId22" w:history="1">
        <w:r>
          <w:rPr>
            <w:color w:val="0000FF"/>
          </w:rPr>
          <w:t>часть 4 статьи 23</w:t>
        </w:r>
      </w:hyperlink>
      <w:r>
        <w:t xml:space="preserve"> дополнить пунктом 19 следующего содержания:</w:t>
      </w:r>
    </w:p>
    <w:p w:rsidR="00EC646B" w:rsidRDefault="00EC646B">
      <w:pPr>
        <w:pStyle w:val="ConsPlusNormal"/>
        <w:spacing w:before="220"/>
        <w:ind w:firstLine="540"/>
        <w:jc w:val="both"/>
      </w:pPr>
      <w:r>
        <w:t>"19) договоры страхования, указанные в части 4 статьи 19 настоящего Федерального закона, и иные связанные с ними документы, в том числе подтверждающие совершение операций и расчетов.".</w:t>
      </w:r>
    </w:p>
    <w:p w:rsidR="00EC646B" w:rsidRDefault="00EC646B">
      <w:pPr>
        <w:pStyle w:val="ConsPlusNormal"/>
        <w:ind w:firstLine="540"/>
        <w:jc w:val="both"/>
      </w:pPr>
    </w:p>
    <w:p w:rsidR="00EC646B" w:rsidRDefault="00EC646B">
      <w:pPr>
        <w:pStyle w:val="ConsPlusTitle"/>
        <w:ind w:firstLine="540"/>
        <w:jc w:val="both"/>
        <w:outlineLvl w:val="0"/>
      </w:pPr>
      <w:r>
        <w:t>Статья 2</w:t>
      </w:r>
    </w:p>
    <w:p w:rsidR="00EC646B" w:rsidRDefault="00EC646B">
      <w:pPr>
        <w:pStyle w:val="ConsPlusNormal"/>
        <w:ind w:firstLine="540"/>
        <w:jc w:val="both"/>
      </w:pPr>
    </w:p>
    <w:p w:rsidR="00EC646B" w:rsidRDefault="00EC646B">
      <w:pPr>
        <w:pStyle w:val="ConsPlusNormal"/>
        <w:ind w:firstLine="540"/>
        <w:jc w:val="both"/>
      </w:pPr>
      <w:r>
        <w:t xml:space="preserve">В </w:t>
      </w:r>
      <w:hyperlink r:id="rId23" w:history="1">
        <w:r>
          <w:rPr>
            <w:color w:val="0000FF"/>
          </w:rPr>
          <w:t>абзаце первом части 4 статьи 15.25</w:t>
        </w:r>
      </w:hyperlink>
      <w:r>
        <w:t xml:space="preserve"> Кодекса Российской Федерации об административных правонарушениях (Собрание законодательства Российской Федерации, 2002, N 1, ст. 1; 2004, N 34, ст. 3533; 2007, N 26, ст. 3089; 2010, N 30, ст. 4005; 2011, N 30, ст. 4584; N 47, ст. 6601, 6602; N 50, ст. 7351; 2012, N 31, ст. 4329; N 47, ст. 6405; 2013, N 26, ст. 3207; N 48, ст. 6163; 2015, N 13, ст. 1804; N 27, ст. 3972; N 48, ст. 6716; 2016, N 7, ст. 918; N 26, ст. 3881; 2017, N 47, ст. 6851) слова "права на них, -" заменить словами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EC646B" w:rsidRDefault="00EC646B">
      <w:pPr>
        <w:pStyle w:val="ConsPlusNormal"/>
        <w:ind w:firstLine="540"/>
        <w:jc w:val="both"/>
      </w:pPr>
    </w:p>
    <w:p w:rsidR="00EC646B" w:rsidRDefault="00EC646B">
      <w:pPr>
        <w:pStyle w:val="ConsPlusTitle"/>
        <w:ind w:firstLine="540"/>
        <w:jc w:val="both"/>
        <w:outlineLvl w:val="0"/>
      </w:pPr>
      <w:r>
        <w:t>Статья 3</w:t>
      </w:r>
    </w:p>
    <w:p w:rsidR="00EC646B" w:rsidRDefault="00EC646B">
      <w:pPr>
        <w:pStyle w:val="ConsPlusNormal"/>
        <w:ind w:firstLine="540"/>
        <w:jc w:val="both"/>
      </w:pPr>
    </w:p>
    <w:p w:rsidR="00EC646B" w:rsidRDefault="00EC646B">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w:t>
      </w:r>
    </w:p>
    <w:p w:rsidR="00EC646B" w:rsidRDefault="00EC646B">
      <w:pPr>
        <w:pStyle w:val="ConsPlusNormal"/>
        <w:spacing w:before="220"/>
        <w:ind w:firstLine="540"/>
        <w:jc w:val="both"/>
      </w:pPr>
      <w:r>
        <w:t xml:space="preserve">2. Положения Федерального </w:t>
      </w:r>
      <w:hyperlink r:id="rId24" w:history="1">
        <w:r>
          <w:rPr>
            <w:color w:val="0000FF"/>
          </w:rPr>
          <w:t>закона</w:t>
        </w:r>
      </w:hyperlink>
      <w:r>
        <w:t xml:space="preserve"> от 10 декабря 2003 года N 173-ФЗ "О валютном регулировании и валютном контроле" (в редакции настоящего Федерального закона) и части 4 статьи 15.25 Кодекса Российской Федерации об административных правонарушениях (в редакции настоящего Федерального закона) не применяются к заключенным до дня вступления в силу настоящего Федерального закона договорам займа, за исключением договоров, существенные условия которых после дня вступления в силу настоящего Федерального закона были изменены.</w:t>
      </w:r>
    </w:p>
    <w:p w:rsidR="00EC646B" w:rsidRDefault="00EC646B">
      <w:pPr>
        <w:pStyle w:val="ConsPlusNormal"/>
        <w:ind w:firstLine="540"/>
        <w:jc w:val="both"/>
      </w:pPr>
    </w:p>
    <w:p w:rsidR="00EC646B" w:rsidRDefault="00EC646B">
      <w:pPr>
        <w:pStyle w:val="ConsPlusNormal"/>
        <w:jc w:val="right"/>
      </w:pPr>
      <w:r>
        <w:t>Президент</w:t>
      </w:r>
    </w:p>
    <w:p w:rsidR="00EC646B" w:rsidRDefault="00EC646B">
      <w:pPr>
        <w:pStyle w:val="ConsPlusNormal"/>
        <w:jc w:val="right"/>
      </w:pPr>
      <w:r>
        <w:t>Российской Федерации</w:t>
      </w:r>
    </w:p>
    <w:p w:rsidR="00EC646B" w:rsidRDefault="00EC646B">
      <w:pPr>
        <w:pStyle w:val="ConsPlusNormal"/>
        <w:jc w:val="right"/>
      </w:pPr>
      <w:r>
        <w:t>В.ПУТИН</w:t>
      </w:r>
    </w:p>
    <w:p w:rsidR="00EC646B" w:rsidRDefault="00EC646B">
      <w:pPr>
        <w:pStyle w:val="ConsPlusNormal"/>
      </w:pPr>
      <w:r>
        <w:t>Москва, Кремль</w:t>
      </w:r>
    </w:p>
    <w:p w:rsidR="00EC646B" w:rsidRDefault="00EC646B">
      <w:pPr>
        <w:pStyle w:val="ConsPlusNormal"/>
        <w:spacing w:before="220"/>
      </w:pPr>
      <w:r>
        <w:t>3 апреля 2018 года</w:t>
      </w:r>
    </w:p>
    <w:p w:rsidR="00EC646B" w:rsidRDefault="00EC646B">
      <w:pPr>
        <w:pStyle w:val="ConsPlusNormal"/>
        <w:spacing w:before="220"/>
      </w:pPr>
      <w:r>
        <w:t>N 64-ФЗ</w:t>
      </w:r>
    </w:p>
    <w:p w:rsidR="00EC646B" w:rsidRDefault="00EC646B">
      <w:pPr>
        <w:pStyle w:val="ConsPlusNormal"/>
      </w:pPr>
    </w:p>
    <w:p w:rsidR="00EC646B" w:rsidRDefault="00EC646B">
      <w:pPr>
        <w:pStyle w:val="ConsPlusNormal"/>
      </w:pPr>
    </w:p>
    <w:p w:rsidR="00EC646B" w:rsidRDefault="00EC646B">
      <w:pPr>
        <w:pStyle w:val="ConsPlusNormal"/>
        <w:pBdr>
          <w:top w:val="single" w:sz="6" w:space="0" w:color="auto"/>
        </w:pBdr>
        <w:spacing w:before="100" w:after="100"/>
        <w:jc w:val="both"/>
        <w:rPr>
          <w:sz w:val="2"/>
          <w:szCs w:val="2"/>
        </w:rPr>
      </w:pPr>
    </w:p>
    <w:p w:rsidR="00722FFE" w:rsidRDefault="00EC646B">
      <w:bookmarkStart w:id="0" w:name="_GoBack"/>
      <w:bookmarkEnd w:id="0"/>
    </w:p>
    <w:sectPr w:rsidR="00722FFE" w:rsidSect="00191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B"/>
    <w:rsid w:val="0007668A"/>
    <w:rsid w:val="00772D4E"/>
    <w:rsid w:val="00EC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9BA6-EE80-4DF5-BF6E-AF15A36D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EC6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4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BBC37E99E92168899AA3792ABB612457330369EFE6FB0E823300D10643646EBCFBBB5396E418ABDj5O" TargetMode="External"/><Relationship Id="rId13" Type="http://schemas.openxmlformats.org/officeDocument/2006/relationships/hyperlink" Target="consultantplus://offline/ref=6F8BBC37E99E92168899AA3792ABB612457330369EFE6FB0E823300D10643646EBCFBBB1B3j8O" TargetMode="External"/><Relationship Id="rId18" Type="http://schemas.openxmlformats.org/officeDocument/2006/relationships/hyperlink" Target="consultantplus://offline/ref=6F8BBC37E99E92168899AA3792ABB612457236339AF96FB0E823300D10643646EBCFBBB5396D4088BDj4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F8BBC37E99E92168899AA3792ABB612457330369EFE6FB0E823300D10643646EBCFBBB0B3jBO" TargetMode="External"/><Relationship Id="rId7" Type="http://schemas.openxmlformats.org/officeDocument/2006/relationships/hyperlink" Target="consultantplus://offline/ref=6F8BBC37E99E92168899AA3792ABB612457330369EFE6FB0E823300D10643646EBCFBBB5396E418ABDjAO" TargetMode="External"/><Relationship Id="rId12" Type="http://schemas.openxmlformats.org/officeDocument/2006/relationships/hyperlink" Target="consultantplus://offline/ref=6F8BBC37E99E92168899AA3792ABB612457330369EFE6FB0E823300D10643646EBCFBBB1B3j8O" TargetMode="External"/><Relationship Id="rId17" Type="http://schemas.openxmlformats.org/officeDocument/2006/relationships/hyperlink" Target="consultantplus://offline/ref=6F8BBC37E99E92168899AA3792ABB612457330369EFE6FB0E823300D10643646EBCFBBB5396E4185BDjC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F8BBC37E99E92168899AA3792ABB612457330369EFE6FB0E823300D10643646EBCFBBBBjDO" TargetMode="External"/><Relationship Id="rId20" Type="http://schemas.openxmlformats.org/officeDocument/2006/relationships/hyperlink" Target="consultantplus://offline/ref=6F8BBC37E99E92168899AA3792ABB612457A33349AF46FB0E823300D10B6j4O" TargetMode="External"/><Relationship Id="rId1" Type="http://schemas.openxmlformats.org/officeDocument/2006/relationships/styles" Target="styles.xml"/><Relationship Id="rId6" Type="http://schemas.openxmlformats.org/officeDocument/2006/relationships/hyperlink" Target="consultantplus://offline/ref=6F8BBC37E99E92168899AA3792ABB612457330369EFE6FB0E823300D10643646EBCFBBB5396E418ABDjBO" TargetMode="External"/><Relationship Id="rId11" Type="http://schemas.openxmlformats.org/officeDocument/2006/relationships/hyperlink" Target="consultantplus://offline/ref=6F8BBC37E99E92168899AA3792ABB612457330369EFE6FB0E823300D10643646EBCFBBB1B3j8O" TargetMode="External"/><Relationship Id="rId24" Type="http://schemas.openxmlformats.org/officeDocument/2006/relationships/hyperlink" Target="consultantplus://offline/ref=6F8BBC37E99E92168899AA3792ABB612457336389DFD6FB0E823300D10B6j4O" TargetMode="External"/><Relationship Id="rId5" Type="http://schemas.openxmlformats.org/officeDocument/2006/relationships/hyperlink" Target="consultantplus://offline/ref=6F8BBC37E99E92168899AA3792ABB612457330369EFE6FB0E823300D10B6j4O" TargetMode="External"/><Relationship Id="rId15" Type="http://schemas.openxmlformats.org/officeDocument/2006/relationships/hyperlink" Target="consultantplus://offline/ref=6F8BBC37E99E92168899AA3792ABB612457330369EFE6FB0E823300D10643646EBCFBBB5396E4185BDjFO" TargetMode="External"/><Relationship Id="rId23" Type="http://schemas.openxmlformats.org/officeDocument/2006/relationships/hyperlink" Target="consultantplus://offline/ref=6F8BBC37E99E92168899AA3792ABB612457330379AFF6FB0E823300D10643646EBCFBBB23F66B4j6O" TargetMode="External"/><Relationship Id="rId10" Type="http://schemas.openxmlformats.org/officeDocument/2006/relationships/hyperlink" Target="consultantplus://offline/ref=6F8BBC37E99E92168899AA3792ABB612457330369EFE6FB0E823300D10643646EBCFBBB5396E418ABDj5O" TargetMode="External"/><Relationship Id="rId19" Type="http://schemas.openxmlformats.org/officeDocument/2006/relationships/hyperlink" Target="consultantplus://offline/ref=6F8BBC37E99E92168899AA3792ABB612457231359EFB6FB0E823300D10643646EBCFBBB5396E408FBDj5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8BBC37E99E92168899AA3792ABB612457330369EFE6FB0E823300D10643646EBCFBBB5396E418ABDj5O" TargetMode="External"/><Relationship Id="rId14" Type="http://schemas.openxmlformats.org/officeDocument/2006/relationships/hyperlink" Target="consultantplus://offline/ref=6F8BBC37E99E92168899AA3792ABB612457330369EFE6FB0E823300D10643646EBCFBBB5396E4185BDjCO" TargetMode="External"/><Relationship Id="rId22" Type="http://schemas.openxmlformats.org/officeDocument/2006/relationships/hyperlink" Target="consultantplus://offline/ref=6F8BBC37E99E92168899AA3792ABB612457330369EFE6FB0E823300D10643646EBCFBBB5396E408EBD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AO UniCredit Bank</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 Lyushenko - UniCredit</dc:creator>
  <cp:keywords/>
  <dc:description/>
  <cp:lastModifiedBy>Irina V. Lyushenko - UniCredit</cp:lastModifiedBy>
  <cp:revision>1</cp:revision>
  <dcterms:created xsi:type="dcterms:W3CDTF">2018-04-10T14:35:00Z</dcterms:created>
  <dcterms:modified xsi:type="dcterms:W3CDTF">2018-04-10T14:35:00Z</dcterms:modified>
</cp:coreProperties>
</file>