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8AE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Приложение №12 к Регламенту</w:t>
      </w:r>
    </w:p>
    <w:p w14:paraId="31C259CD"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 xml:space="preserve">признания клиентов АО ЮниКредит Банка </w:t>
      </w:r>
    </w:p>
    <w:p w14:paraId="07FBCDB1" w14:textId="77777777" w:rsidR="00887E01"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r w:rsidRPr="006D22AB">
        <w:rPr>
          <w:rFonts w:ascii="Times New Roman" w:eastAsia="Times New Roman" w:hAnsi="Times New Roman" w:cs="Courier New"/>
          <w:sz w:val="24"/>
          <w:szCs w:val="24"/>
          <w:lang w:eastAsia="ru-RU"/>
        </w:rPr>
        <w:t>квалифицированными инвесторами</w:t>
      </w:r>
    </w:p>
    <w:p w14:paraId="620EA5F6" w14:textId="77777777" w:rsidR="00887E01" w:rsidRPr="006D22AB"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eastAsia="Times New Roman" w:hAnsi="Times New Roman" w:cs="Courier New"/>
          <w:sz w:val="24"/>
          <w:szCs w:val="24"/>
          <w:lang w:eastAsia="ru-RU"/>
        </w:rPr>
      </w:pPr>
    </w:p>
    <w:p w14:paraId="6701C414" w14:textId="43DEA6B1" w:rsidR="00887E01" w:rsidRPr="00270940" w:rsidRDefault="00887E01" w:rsidP="00887E01">
      <w:pPr>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40" w:lineRule="auto"/>
        <w:jc w:val="center"/>
        <w:rPr>
          <w:rFonts w:ascii="Times New Roman" w:eastAsia="Times New Roman" w:hAnsi="Times New Roman" w:cs="Times New Roman"/>
          <w:sz w:val="24"/>
          <w:szCs w:val="24"/>
          <w:lang w:eastAsia="ru-RU"/>
        </w:rPr>
      </w:pPr>
      <w:r w:rsidRPr="006D22AB">
        <w:rPr>
          <w:rFonts w:ascii="Times New Roman" w:eastAsia="Times New Roman" w:hAnsi="Times New Roman" w:cs="Times New Roman"/>
          <w:sz w:val="24"/>
          <w:szCs w:val="24"/>
          <w:lang w:eastAsia="ru-RU"/>
        </w:rPr>
        <w:t xml:space="preserve">Требования к Клиенту – физическому лицу, установленные Законом 39-ФЗ </w:t>
      </w:r>
      <w:r w:rsidR="001A695A">
        <w:rPr>
          <w:rFonts w:ascii="Times New Roman" w:eastAsia="Times New Roman" w:hAnsi="Times New Roman" w:cs="Times New Roman"/>
          <w:sz w:val="24"/>
          <w:szCs w:val="24"/>
          <w:lang w:eastAsia="ru-RU"/>
        </w:rPr>
        <w:t xml:space="preserve">«О рынке ценных бумаг» </w:t>
      </w:r>
      <w:r w:rsidRPr="006D22AB">
        <w:rPr>
          <w:rFonts w:ascii="Times New Roman" w:eastAsia="Times New Roman" w:hAnsi="Times New Roman" w:cs="Times New Roman"/>
          <w:sz w:val="24"/>
          <w:szCs w:val="24"/>
          <w:lang w:eastAsia="ru-RU"/>
        </w:rPr>
        <w:t xml:space="preserve">и </w:t>
      </w:r>
      <w:r w:rsidRPr="006D22AB">
        <w:rPr>
          <w:rFonts w:ascii="Times New Roman" w:hAnsi="Times New Roman" w:cs="Times New Roman"/>
          <w:sz w:val="24"/>
          <w:szCs w:val="24"/>
        </w:rPr>
        <w:t xml:space="preserve">Указанием Банка России от </w:t>
      </w:r>
      <w:r w:rsidR="001A695A" w:rsidRPr="006D22AB">
        <w:rPr>
          <w:rFonts w:ascii="Times New Roman" w:hAnsi="Times New Roman" w:cs="Times New Roman"/>
          <w:sz w:val="24"/>
          <w:szCs w:val="24"/>
        </w:rPr>
        <w:t>2</w:t>
      </w:r>
      <w:r w:rsidR="001A695A">
        <w:rPr>
          <w:rFonts w:ascii="Times New Roman" w:hAnsi="Times New Roman" w:cs="Times New Roman"/>
          <w:sz w:val="24"/>
          <w:szCs w:val="24"/>
        </w:rPr>
        <w:t>1</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0</w:t>
      </w:r>
      <w:r w:rsidR="001A695A">
        <w:rPr>
          <w:rFonts w:ascii="Times New Roman" w:hAnsi="Times New Roman" w:cs="Times New Roman"/>
          <w:sz w:val="24"/>
          <w:szCs w:val="24"/>
        </w:rPr>
        <w:t>5</w:t>
      </w:r>
      <w:r w:rsidRPr="006D22AB">
        <w:rPr>
          <w:rFonts w:ascii="Times New Roman" w:hAnsi="Times New Roman" w:cs="Times New Roman"/>
          <w:sz w:val="24"/>
          <w:szCs w:val="24"/>
        </w:rPr>
        <w:t>.</w:t>
      </w:r>
      <w:r w:rsidR="001A695A" w:rsidRPr="006D22AB">
        <w:rPr>
          <w:rFonts w:ascii="Times New Roman" w:hAnsi="Times New Roman" w:cs="Times New Roman"/>
          <w:sz w:val="24"/>
          <w:szCs w:val="24"/>
        </w:rPr>
        <w:t>20</w:t>
      </w:r>
      <w:r w:rsidR="001A695A">
        <w:rPr>
          <w:rFonts w:ascii="Times New Roman" w:hAnsi="Times New Roman" w:cs="Times New Roman"/>
          <w:sz w:val="24"/>
          <w:szCs w:val="24"/>
        </w:rPr>
        <w:t>25</w:t>
      </w:r>
      <w:r w:rsidR="001A695A" w:rsidRPr="006D22AB">
        <w:rPr>
          <w:rFonts w:ascii="Times New Roman" w:hAnsi="Times New Roman" w:cs="Times New Roman"/>
          <w:sz w:val="24"/>
          <w:szCs w:val="24"/>
        </w:rPr>
        <w:t xml:space="preserve"> </w:t>
      </w:r>
      <w:r w:rsidRPr="006D22AB">
        <w:rPr>
          <w:rFonts w:ascii="Times New Roman" w:hAnsi="Times New Roman" w:cs="Times New Roman"/>
          <w:sz w:val="24"/>
          <w:szCs w:val="24"/>
        </w:rPr>
        <w:t xml:space="preserve">N </w:t>
      </w:r>
      <w:r w:rsidR="001A695A">
        <w:rPr>
          <w:rFonts w:ascii="Times New Roman" w:hAnsi="Times New Roman" w:cs="Times New Roman"/>
          <w:sz w:val="24"/>
          <w:szCs w:val="24"/>
        </w:rPr>
        <w:t xml:space="preserve">7060 </w:t>
      </w:r>
      <w:r w:rsidRPr="006D22AB">
        <w:rPr>
          <w:rFonts w:ascii="Times New Roman" w:hAnsi="Times New Roman" w:cs="Times New Roman"/>
          <w:sz w:val="24"/>
          <w:szCs w:val="24"/>
        </w:rPr>
        <w:t xml:space="preserve">-У "О признании лиц квалифицированными </w:t>
      </w:r>
      <w:r w:rsidRPr="00270940">
        <w:rPr>
          <w:rFonts w:ascii="Times New Roman" w:hAnsi="Times New Roman" w:cs="Times New Roman"/>
          <w:sz w:val="24"/>
          <w:szCs w:val="24"/>
        </w:rPr>
        <w:t>инвесторами и порядке ведения реестра лиц, признанных квалифицированными инвесторами</w:t>
      </w:r>
    </w:p>
    <w:p w14:paraId="0E6DE18B" w14:textId="10FBF9F6" w:rsidR="00FE30AF" w:rsidRPr="00270940" w:rsidRDefault="005A321B" w:rsidP="00FE30A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BA045B">
        <w:rPr>
          <w:rFonts w:ascii="Times New Roman" w:hAnsi="Times New Roman" w:cs="Times New Roman"/>
          <w:sz w:val="24"/>
          <w:szCs w:val="24"/>
        </w:rPr>
        <w:t xml:space="preserve">1.1. </w:t>
      </w:r>
      <w:r w:rsidRPr="00270940">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продолжительность опыта работы физического лица, непосредственно связанного с совершением сделок с финансовыми инструментами, подготовкой индивидуальных инвестиционных рекомендаций, управления рисками, связанными с совершением указанных сделок, в российской и (или) иностранной организациях в течение пяти лет, предшествующих дате подачи заявления о признании квалифицированным инвестором, должна составлять не менее двух лет, если российская и (или) иностранная организации являются квалифицированными инвесторами в соответствии с </w:t>
      </w:r>
      <w:hyperlink r:id="rId4"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от 22 апреля 1996 года N 39-ФЗ "О рынке ценных бумаг" (далее - Федеральный закон "О рынке ценных бумаг"), и не менее трех лет, если российская и (или) иностранная организация не является квалифицированным инвестором в соответствии с </w:t>
      </w:r>
      <w:hyperlink r:id="rId5" w:history="1">
        <w:r w:rsidRPr="00270940">
          <w:rPr>
            <w:rFonts w:ascii="Times New Roman" w:eastAsia="Times New Roman" w:hAnsi="Times New Roman" w:cs="Times New Roman"/>
            <w:sz w:val="24"/>
            <w:szCs w:val="24"/>
            <w:lang w:eastAsia="ru-RU"/>
          </w:rPr>
          <w:t>пунктом 2 статьи 51.2</w:t>
        </w:r>
      </w:hyperlink>
      <w:r w:rsidRPr="00270940">
        <w:rPr>
          <w:rFonts w:ascii="Times New Roman" w:eastAsia="Times New Roman" w:hAnsi="Times New Roman" w:cs="Times New Roman"/>
          <w:sz w:val="24"/>
          <w:szCs w:val="24"/>
          <w:lang w:eastAsia="ru-RU"/>
        </w:rPr>
        <w:t xml:space="preserve"> Федерального закона "О рынке ценных бумаг".</w:t>
      </w:r>
      <w:r w:rsidR="00FE30AF" w:rsidRPr="00270940">
        <w:rPr>
          <w:rFonts w:ascii="Times New Roman" w:eastAsia="Times New Roman" w:hAnsi="Times New Roman" w:cs="Times New Roman"/>
          <w:sz w:val="24"/>
          <w:szCs w:val="24"/>
          <w:lang w:eastAsia="ru-RU"/>
        </w:rPr>
        <w:t xml:space="preserve"> Также физическое лицо может быть признано квалифицированным инвестором при наличии опыта работы в должности, при назначении (избрании) на которую в соответствии с федеральными законами требовалось согласование Банка России. </w:t>
      </w:r>
    </w:p>
    <w:p w14:paraId="57464679" w14:textId="77777777" w:rsidR="005A321B" w:rsidRPr="00270940"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0" w:name="Par1"/>
      <w:bookmarkEnd w:id="0"/>
      <w:r w:rsidRPr="00270940">
        <w:rPr>
          <w:rFonts w:ascii="Times New Roman" w:eastAsia="Times New Roman" w:hAnsi="Times New Roman" w:cs="Times New Roman"/>
          <w:sz w:val="24"/>
          <w:szCs w:val="24"/>
          <w:lang w:eastAsia="ru-RU"/>
        </w:rPr>
        <w:t>1.2. Для признания физического лица квалифицированным инвестором учитываются совершенные им сделки со следующими ценными бумагами:</w:t>
      </w:r>
    </w:p>
    <w:p w14:paraId="3E0A7316"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 w:name="Par2"/>
      <w:bookmarkEnd w:id="1"/>
      <w:r w:rsidRPr="00270940">
        <w:rPr>
          <w:rFonts w:ascii="Times New Roman" w:eastAsia="Times New Roman" w:hAnsi="Times New Roman" w:cs="Times New Roman"/>
          <w:sz w:val="24"/>
          <w:szCs w:val="24"/>
          <w:lang w:eastAsia="ru-RU"/>
        </w:rPr>
        <w:t>государственными ценными бумагами</w:t>
      </w:r>
      <w:r w:rsidRPr="005A321B">
        <w:rPr>
          <w:rFonts w:ascii="Times New Roman" w:eastAsia="Times New Roman" w:hAnsi="Times New Roman" w:cs="Times New Roman"/>
          <w:sz w:val="24"/>
          <w:szCs w:val="24"/>
          <w:lang w:eastAsia="ru-RU"/>
        </w:rPr>
        <w:t xml:space="preserve"> Российской Федерации, государственными ценными бумагами субъектов Российской Федерации и муниципальными ценными бумагами;</w:t>
      </w:r>
    </w:p>
    <w:p w14:paraId="31EDF8B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российских эмитентов;</w:t>
      </w:r>
    </w:p>
    <w:p w14:paraId="116C847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государственными ценными бумагами иностранных государств;</w:t>
      </w:r>
    </w:p>
    <w:p w14:paraId="0B2385B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акциями и облигациями иностранных эмитентов;</w:t>
      </w:r>
    </w:p>
    <w:p w14:paraId="6CCE13FF"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российскими депозитарными расписками и ценными бумагами, которые удостоверяют право собственности на определенное количество представляемых ценных бумаг (акций или облигаций иностранного или российского эмитента либо ценных бумаг иного иностранного эмитента, удостоверяющих права в отношении акций или облигаций иностранного эмитента) и закрепляют право их владельцев требовать от эмитента получения соответствующего количества представляемых ценных бумаг;</w:t>
      </w:r>
    </w:p>
    <w:p w14:paraId="38E21F43"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инвестиционными паями паевых инвестиционных фондов и паями (акциями) иностранных инвестиционных фондов;</w:t>
      </w:r>
    </w:p>
    <w:p w14:paraId="55D6307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ипотечными сертификатами участия;</w:t>
      </w:r>
    </w:p>
    <w:p w14:paraId="150E5159"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2" w:name="Par9"/>
      <w:bookmarkEnd w:id="2"/>
      <w:r w:rsidRPr="005A321B">
        <w:rPr>
          <w:rFonts w:ascii="Times New Roman" w:eastAsia="Times New Roman" w:hAnsi="Times New Roman" w:cs="Times New Roman"/>
          <w:sz w:val="24"/>
          <w:szCs w:val="24"/>
          <w:lang w:eastAsia="ru-RU"/>
        </w:rPr>
        <w:t>цифровыми свидетельствами.</w:t>
      </w:r>
    </w:p>
    <w:p w14:paraId="6153906E"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lastRenderedPageBreak/>
        <w:t>Для признания физического лица квалифицированным инвестором также учитывается заключение им на организованных торгах договоров, являющихся производными финансовыми инструментами.</w:t>
      </w:r>
    </w:p>
    <w:p w14:paraId="5DD8C8A4" w14:textId="4FADC046"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3" w:name="Par11"/>
      <w:bookmarkEnd w:id="3"/>
      <w:r w:rsidRPr="005A321B">
        <w:rPr>
          <w:rFonts w:ascii="Times New Roman" w:eastAsia="Times New Roman" w:hAnsi="Times New Roman" w:cs="Times New Roman"/>
          <w:sz w:val="24"/>
          <w:szCs w:val="24"/>
          <w:lang w:eastAsia="ru-RU"/>
        </w:rPr>
        <w:t xml:space="preserve">1.3. Для признания физического лица квалифицированным инвестором сделки с ценными бумагами, указанными в </w:t>
      </w:r>
      <w:hyperlink w:anchor="Par1" w:history="1">
        <w:r w:rsidRPr="005A321B">
          <w:rPr>
            <w:rFonts w:ascii="Times New Roman" w:eastAsia="Times New Roman" w:hAnsi="Times New Roman" w:cs="Times New Roman"/>
            <w:sz w:val="24"/>
            <w:szCs w:val="24"/>
            <w:lang w:eastAsia="ru-RU"/>
          </w:rPr>
          <w:t>пункте 1.2</w:t>
        </w:r>
      </w:hyperlink>
      <w:r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xml:space="preserve">, и (или) договоры, предусмотренные </w:t>
      </w:r>
      <w:hyperlink r:id="rId6" w:history="1">
        <w:r w:rsidRPr="005A321B">
          <w:rPr>
            <w:rFonts w:ascii="Times New Roman" w:eastAsia="Times New Roman" w:hAnsi="Times New Roman" w:cs="Times New Roman"/>
            <w:sz w:val="24"/>
            <w:szCs w:val="24"/>
            <w:lang w:eastAsia="ru-RU"/>
          </w:rPr>
          <w:t>пунктом 1 статьи 4.1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(или) заключенные физическим лицом на организованных торгах договоры, являющиеся производными финансовыми инструментами, за последние четыре полных квартала, предшествующие кварталу, в котором физическое лицо подало заявление о признании его квалифицированным инвестором, должны быть совершены и (или) заключены физическим лицом в среднем не реже десяти раз в квартал, но не реже одного раза в месяц.</w:t>
      </w:r>
    </w:p>
    <w:p w14:paraId="60961F02" w14:textId="6A6D935F"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Объем сделок и (или) договоров, указанных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при условии, что объем сделок с цифровыми свидетельствами не превышает 25 процентов, должен составлять за период, указанный в </w:t>
      </w:r>
      <w:hyperlink w:anchor="Par11"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не менее 6 миллионов рублей, а при наличии у физического лица образования или ученой степени, предусмотренных </w:t>
      </w:r>
      <w:hyperlink w:anchor="Par55" w:history="1">
        <w:r w:rsidR="00032948" w:rsidRPr="005A321B">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5A321B">
        <w:rPr>
          <w:rFonts w:ascii="Times New Roman" w:eastAsia="Times New Roman" w:hAnsi="Times New Roman" w:cs="Times New Roman"/>
          <w:sz w:val="24"/>
          <w:szCs w:val="24"/>
          <w:lang w:eastAsia="ru-RU"/>
        </w:rPr>
        <w:t xml:space="preserve"> </w:t>
      </w:r>
      <w:r w:rsidR="00CA603F">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 не менее 4 миллионов рублей.</w:t>
      </w:r>
    </w:p>
    <w:p w14:paraId="7A306AF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4" w:name="Par13"/>
      <w:bookmarkEnd w:id="4"/>
      <w:r w:rsidRPr="005A321B">
        <w:rPr>
          <w:rFonts w:ascii="Times New Roman" w:eastAsia="Times New Roman" w:hAnsi="Times New Roman" w:cs="Times New Roman"/>
          <w:sz w:val="24"/>
          <w:szCs w:val="24"/>
          <w:lang w:eastAsia="ru-RU"/>
        </w:rPr>
        <w:t>1.4. Для признания физического лица квалифицированным инвестором учитываются только следующие виды имущества, в отношении которого не установлены обременение и (или) ограничение в распоряжении (за исключением передачи такого имущества в соответствии с договором об оказании клиринговых услуг для исполнения и (или) обеспечения допущенных к клирингу обязательств участника клиринга и (или) его клиентов, включая индивидуальное и коллективное клиринговое обеспечение) и сделки по приобретению которого физическим лицом исполнены в полном объеме:</w:t>
      </w:r>
    </w:p>
    <w:p w14:paraId="2E854EE4"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денежные средства, в том числе переданные физическим лицом брокеру и (или) в доверительное управление, находящиеся на счетах (за исключением счетов </w:t>
      </w:r>
      <w:proofErr w:type="spellStart"/>
      <w:r w:rsidRPr="005A321B">
        <w:rPr>
          <w:rFonts w:ascii="Times New Roman" w:eastAsia="Times New Roman" w:hAnsi="Times New Roman" w:cs="Times New Roman"/>
          <w:sz w:val="24"/>
          <w:szCs w:val="24"/>
          <w:lang w:eastAsia="ru-RU"/>
        </w:rPr>
        <w:t>эскроу</w:t>
      </w:r>
      <w:proofErr w:type="spellEnd"/>
      <w:r w:rsidRPr="005A321B">
        <w:rPr>
          <w:rFonts w:ascii="Times New Roman" w:eastAsia="Times New Roman" w:hAnsi="Times New Roman" w:cs="Times New Roman"/>
          <w:sz w:val="24"/>
          <w:szCs w:val="24"/>
          <w:lang w:eastAsia="ru-RU"/>
        </w:rPr>
        <w:t xml:space="preserve"> и номинальных счетов, не являющихся номинальными счетами (специальными счетами), открытыми владельцу - оператору информационной системы, в которой осуществляется выпуск цифровых финансовых активов, оператору инвестиционной платформы, оператору обмена цифровых финансовых активов, оператору финансовой платформы и форекс-дилеру, бенефициаром по которым является данное физическое лицо), и (или) во вкладах (депозитах), открытых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7"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8"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4B3058B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5" w:name="Par15"/>
      <w:bookmarkEnd w:id="5"/>
      <w:r w:rsidRPr="005A321B">
        <w:rPr>
          <w:rFonts w:ascii="Times New Roman" w:eastAsia="Times New Roman" w:hAnsi="Times New Roman" w:cs="Times New Roman"/>
          <w:sz w:val="24"/>
          <w:szCs w:val="24"/>
          <w:lang w:eastAsia="ru-RU"/>
        </w:rPr>
        <w:t xml:space="preserve">денежные средства, эквивалентные стоимости драгоценного металла, находящегося на банковском вкладе в драгоценных металлах и (или) банковском счете в драгоценных металлах, открытых физическому лицу в кредитных организациях, зарегистрированных в Российской Федерации, и (или) в иностранных банках с местом учреждения в государствах, указанных в </w:t>
      </w:r>
      <w:hyperlink r:id="rId9" w:history="1">
        <w:r w:rsidRPr="005A321B">
          <w:rPr>
            <w:rFonts w:ascii="Times New Roman" w:eastAsia="Times New Roman" w:hAnsi="Times New Roman" w:cs="Times New Roman"/>
            <w:sz w:val="24"/>
            <w:szCs w:val="24"/>
            <w:lang w:eastAsia="ru-RU"/>
          </w:rPr>
          <w:t>подпунктах 1</w:t>
        </w:r>
      </w:hyperlink>
      <w:r w:rsidRPr="005A321B">
        <w:rPr>
          <w:rFonts w:ascii="Times New Roman" w:eastAsia="Times New Roman" w:hAnsi="Times New Roman" w:cs="Times New Roman"/>
          <w:sz w:val="24"/>
          <w:szCs w:val="24"/>
          <w:lang w:eastAsia="ru-RU"/>
        </w:rPr>
        <w:t xml:space="preserve"> и </w:t>
      </w:r>
      <w:hyperlink r:id="rId10" w:history="1">
        <w:r w:rsidRPr="005A321B">
          <w:rPr>
            <w:rFonts w:ascii="Times New Roman" w:eastAsia="Times New Roman" w:hAnsi="Times New Roman" w:cs="Times New Roman"/>
            <w:sz w:val="24"/>
            <w:szCs w:val="24"/>
            <w:lang w:eastAsia="ru-RU"/>
          </w:rPr>
          <w:t>2 пункта 2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18C86728"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6" w:name="Par16"/>
      <w:bookmarkEnd w:id="6"/>
      <w:r w:rsidRPr="005A321B">
        <w:rPr>
          <w:rFonts w:ascii="Times New Roman" w:eastAsia="Times New Roman" w:hAnsi="Times New Roman" w:cs="Times New Roman"/>
          <w:sz w:val="24"/>
          <w:szCs w:val="24"/>
          <w:lang w:eastAsia="ru-RU"/>
        </w:rPr>
        <w:t>цифровые финансовые активы, удостоверяющие денежные требования, в соответствии с решением о выпуске которых срок, в течение которого лицо, выпускающее цифровые финансовые активы, обязано полностью исполнить свои обязательства, удостоверенные ими, не превышает один год;</w:t>
      </w:r>
    </w:p>
    <w:p w14:paraId="5B2A3AF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следующие ценные бумаги, в том числе переданные физическим лицом в доверительное управление:</w:t>
      </w:r>
    </w:p>
    <w:p w14:paraId="7E2573AA"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7" w:name="Par18"/>
      <w:bookmarkEnd w:id="7"/>
      <w:r w:rsidRPr="005A321B">
        <w:rPr>
          <w:rFonts w:ascii="Times New Roman" w:eastAsia="Times New Roman" w:hAnsi="Times New Roman" w:cs="Times New Roman"/>
          <w:sz w:val="24"/>
          <w:szCs w:val="24"/>
          <w:lang w:eastAsia="ru-RU"/>
        </w:rPr>
        <w:t xml:space="preserve">ценные бумаги, в отношении которых принято решение о включении в котировальные списки российской биржей или биржей, включенной в перечень иностранных бирж, предусмотренный </w:t>
      </w:r>
      <w:hyperlink r:id="rId11" w:history="1">
        <w:r w:rsidRPr="005A321B">
          <w:rPr>
            <w:rFonts w:ascii="Times New Roman" w:eastAsia="Times New Roman" w:hAnsi="Times New Roman" w:cs="Times New Roman"/>
            <w:sz w:val="24"/>
            <w:szCs w:val="24"/>
            <w:lang w:eastAsia="ru-RU"/>
          </w:rPr>
          <w:t>пунктом 4 статьи 51.1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за исключением ипотечных сертификатов участия;</w:t>
      </w:r>
    </w:p>
    <w:p w14:paraId="7DD341B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облигации, не относящиеся к ценным бумагам, указанным в </w:t>
      </w:r>
      <w:hyperlink w:anchor="Par18" w:history="1">
        <w:r w:rsidRPr="005A321B">
          <w:rPr>
            <w:rFonts w:ascii="Times New Roman" w:eastAsia="Times New Roman" w:hAnsi="Times New Roman" w:cs="Times New Roman"/>
            <w:sz w:val="24"/>
            <w:szCs w:val="24"/>
            <w:lang w:eastAsia="ru-RU"/>
          </w:rPr>
          <w:t>абзаце шестом</w:t>
        </w:r>
      </w:hyperlink>
      <w:r w:rsidRPr="005A321B">
        <w:rPr>
          <w:rFonts w:ascii="Times New Roman" w:eastAsia="Times New Roman" w:hAnsi="Times New Roman" w:cs="Times New Roman"/>
          <w:sz w:val="24"/>
          <w:szCs w:val="24"/>
          <w:lang w:eastAsia="ru-RU"/>
        </w:rPr>
        <w:t xml:space="preserve"> настоящего пункта, кредитный рейтинг которых, а в случае его отсутствия кредитный рейтинг эмитента которых либо кредитный рейтинг поручителя (гаранта) по которым не ниже уровня, установленного Советом директоров Банка России в соответствии с </w:t>
      </w:r>
      <w:hyperlink r:id="rId12" w:history="1">
        <w:r w:rsidRPr="005A321B">
          <w:rPr>
            <w:rFonts w:ascii="Times New Roman" w:eastAsia="Times New Roman" w:hAnsi="Times New Roman" w:cs="Times New Roman"/>
            <w:sz w:val="24"/>
            <w:szCs w:val="24"/>
            <w:lang w:eastAsia="ru-RU"/>
          </w:rPr>
          <w:t>пунктом 17.5 части первой статьи 18</w:t>
        </w:r>
      </w:hyperlink>
      <w:r w:rsidRPr="005A321B">
        <w:rPr>
          <w:rFonts w:ascii="Times New Roman" w:eastAsia="Times New Roman" w:hAnsi="Times New Roman" w:cs="Times New Roman"/>
          <w:sz w:val="24"/>
          <w:szCs w:val="24"/>
          <w:lang w:eastAsia="ru-RU"/>
        </w:rPr>
        <w:t xml:space="preserve"> Федерального закона от 10 июля 2002 года N 86-ФЗ "О Центральном банке Российской Федерации (Банке России)";</w:t>
      </w:r>
    </w:p>
    <w:p w14:paraId="2C8CADD2"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8" w:name="Par20"/>
      <w:bookmarkEnd w:id="8"/>
      <w:r w:rsidRPr="005A321B">
        <w:rPr>
          <w:rFonts w:ascii="Times New Roman" w:eastAsia="Times New Roman" w:hAnsi="Times New Roman" w:cs="Times New Roman"/>
          <w:sz w:val="24"/>
          <w:szCs w:val="24"/>
          <w:lang w:eastAsia="ru-RU"/>
        </w:rPr>
        <w:t xml:space="preserve">инвестиционные паи паевых инвестиционных фондов, указанные в </w:t>
      </w:r>
      <w:hyperlink r:id="rId13"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w:t>
      </w:r>
    </w:p>
    <w:p w14:paraId="2BF52EE0"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Для признания физического лица квалифицированным инвестором размер имущества, принадлежащего физическому лицу, должен составлять не менее 12 миллионов рублей (с 1 января 2026 года - не менее 24 миллионов рублей), а при наличии у физического лица образования или ученой степени, предусмотренных </w:t>
      </w:r>
      <w:hyperlink w:anchor="Par55" w:history="1">
        <w:r w:rsidRPr="005A321B">
          <w:rPr>
            <w:rFonts w:ascii="Times New Roman" w:eastAsia="Times New Roman" w:hAnsi="Times New Roman" w:cs="Times New Roman"/>
            <w:sz w:val="24"/>
            <w:szCs w:val="24"/>
            <w:lang w:eastAsia="ru-RU"/>
          </w:rPr>
          <w:t>абзацем вторым пункта 1.9</w:t>
        </w:r>
      </w:hyperlink>
      <w:r w:rsidRPr="005A321B">
        <w:rPr>
          <w:rFonts w:ascii="Times New Roman" w:eastAsia="Times New Roman" w:hAnsi="Times New Roman" w:cs="Times New Roman"/>
          <w:sz w:val="24"/>
          <w:szCs w:val="24"/>
          <w:lang w:eastAsia="ru-RU"/>
        </w:rPr>
        <w:t xml:space="preserve"> настоящего Указания, либо подтверждения брокером, управляющим, форекс-дилером, дилером или управляющей компанией паевого инвестиционного фонда наличия у физического лица знаний, полученного в порядке, установленном базовым стандартом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разработанным, согласованным и утвержденным в соответствии с требованиями Федерального </w:t>
      </w:r>
      <w:hyperlink r:id="rId14" w:history="1">
        <w:r w:rsidRPr="005A321B">
          <w:rPr>
            <w:rFonts w:ascii="Times New Roman" w:eastAsia="Times New Roman" w:hAnsi="Times New Roman" w:cs="Times New Roman"/>
            <w:sz w:val="24"/>
            <w:szCs w:val="24"/>
            <w:lang w:eastAsia="ru-RU"/>
          </w:rPr>
          <w:t>закона</w:t>
        </w:r>
      </w:hyperlink>
      <w:r w:rsidRPr="005A321B">
        <w:rPr>
          <w:rFonts w:ascii="Times New Roman" w:eastAsia="Times New Roman" w:hAnsi="Times New Roman" w:cs="Times New Roman"/>
          <w:sz w:val="24"/>
          <w:szCs w:val="24"/>
          <w:lang w:eastAsia="ru-RU"/>
        </w:rPr>
        <w:t xml:space="preserve"> от 13 июля 2015 года N 223-ФЗ "О саморегулируемых организациях в сфере финансового рынка" (далее - подтверждение наличия у физического лица знаний), - не менее 6 миллионов рублей (с 1 января 2026 года - не менее 12 миллионов рублей).</w:t>
      </w:r>
    </w:p>
    <w:p w14:paraId="78141C31" w14:textId="29DCAB2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При определении размера денежных средств, указанных в </w:t>
      </w:r>
      <w:hyperlink w:anchor="Par15" w:history="1">
        <w:r w:rsidRPr="005A321B">
          <w:rPr>
            <w:rFonts w:ascii="Times New Roman" w:eastAsia="Times New Roman" w:hAnsi="Times New Roman" w:cs="Times New Roman"/>
            <w:sz w:val="24"/>
            <w:szCs w:val="24"/>
            <w:lang w:eastAsia="ru-RU"/>
          </w:rPr>
          <w:t>абзаце третьем</w:t>
        </w:r>
      </w:hyperlink>
      <w:r w:rsidRPr="005A321B">
        <w:rPr>
          <w:rFonts w:ascii="Times New Roman" w:eastAsia="Times New Roman" w:hAnsi="Times New Roman" w:cs="Times New Roman"/>
          <w:sz w:val="24"/>
          <w:szCs w:val="24"/>
          <w:lang w:eastAsia="ru-RU"/>
        </w:rPr>
        <w:t xml:space="preserve"> настоящего пункта, стоимость драгоценного металла определяется по учетной цене, установленной в соответствии с </w:t>
      </w:r>
      <w:hyperlink r:id="rId15" w:history="1">
        <w:r w:rsidRPr="005A321B">
          <w:rPr>
            <w:rFonts w:ascii="Times New Roman" w:eastAsia="Times New Roman" w:hAnsi="Times New Roman" w:cs="Times New Roman"/>
            <w:sz w:val="24"/>
            <w:szCs w:val="24"/>
            <w:lang w:eastAsia="ru-RU"/>
          </w:rPr>
          <w:t>пунктами 2</w:t>
        </w:r>
      </w:hyperlink>
      <w:r w:rsidRPr="005A321B">
        <w:rPr>
          <w:rFonts w:ascii="Times New Roman" w:eastAsia="Times New Roman" w:hAnsi="Times New Roman" w:cs="Times New Roman"/>
          <w:sz w:val="24"/>
          <w:szCs w:val="24"/>
          <w:lang w:eastAsia="ru-RU"/>
        </w:rPr>
        <w:t xml:space="preserve"> - </w:t>
      </w:r>
      <w:hyperlink r:id="rId16" w:history="1">
        <w:r w:rsidRPr="005A321B">
          <w:rPr>
            <w:rFonts w:ascii="Times New Roman" w:eastAsia="Times New Roman" w:hAnsi="Times New Roman" w:cs="Times New Roman"/>
            <w:sz w:val="24"/>
            <w:szCs w:val="24"/>
            <w:lang w:eastAsia="ru-RU"/>
          </w:rPr>
          <w:t>4</w:t>
        </w:r>
      </w:hyperlink>
      <w:r w:rsidRPr="005A321B">
        <w:rPr>
          <w:rFonts w:ascii="Times New Roman" w:eastAsia="Times New Roman" w:hAnsi="Times New Roman" w:cs="Times New Roman"/>
          <w:sz w:val="24"/>
          <w:szCs w:val="24"/>
          <w:lang w:eastAsia="ru-RU"/>
        </w:rPr>
        <w:t xml:space="preserve"> Указания Банка России от 10 июля 2024 года N 6799-У "О перечне и видах драгоценных металлов, в отношении которых устанавливаются учетные цены, и порядке установления учетных цен на драгоценные металлы".</w:t>
      </w:r>
    </w:p>
    <w:p w14:paraId="7FE3BBF5" w14:textId="77777777" w:rsidR="005A321B" w:rsidRPr="005A321B" w:rsidRDefault="005A321B" w:rsidP="005A321B">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14:paraId="5EAE99EB" w14:textId="77777777"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цифровых финансовых активов физического лица, указанных в </w:t>
      </w:r>
      <w:hyperlink w:anchor="Par16" w:history="1">
        <w:r w:rsidRPr="005A321B">
          <w:rPr>
            <w:rFonts w:ascii="Times New Roman" w:eastAsia="Times New Roman" w:hAnsi="Times New Roman" w:cs="Times New Roman"/>
            <w:sz w:val="24"/>
            <w:szCs w:val="24"/>
            <w:lang w:eastAsia="ru-RU"/>
          </w:rPr>
          <w:t>абзаце четвертом</w:t>
        </w:r>
      </w:hyperlink>
      <w:r w:rsidRPr="005A321B">
        <w:rPr>
          <w:rFonts w:ascii="Times New Roman" w:eastAsia="Times New Roman" w:hAnsi="Times New Roman" w:cs="Times New Roman"/>
          <w:sz w:val="24"/>
          <w:szCs w:val="24"/>
          <w:lang w:eastAsia="ru-RU"/>
        </w:rPr>
        <w:t xml:space="preserve"> настоящего пункта, признается равной цене приобретения им этих цифровых финансовых активов.</w:t>
      </w:r>
    </w:p>
    <w:p w14:paraId="6B53A635" w14:textId="7024C2EB"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физического лица, указанных в </w:t>
      </w:r>
      <w:hyperlink w:anchor="Par18" w:history="1">
        <w:r w:rsidRPr="005A321B">
          <w:rPr>
            <w:rFonts w:ascii="Times New Roman" w:eastAsia="Times New Roman" w:hAnsi="Times New Roman" w:cs="Times New Roman"/>
            <w:sz w:val="24"/>
            <w:szCs w:val="24"/>
            <w:lang w:eastAsia="ru-RU"/>
          </w:rPr>
          <w:t>абзацах шестом</w:t>
        </w:r>
      </w:hyperlink>
      <w:r w:rsidRPr="005A321B">
        <w:rPr>
          <w:rFonts w:ascii="Times New Roman" w:eastAsia="Times New Roman" w:hAnsi="Times New Roman" w:cs="Times New Roman"/>
          <w:sz w:val="24"/>
          <w:szCs w:val="24"/>
          <w:lang w:eastAsia="ru-RU"/>
        </w:rPr>
        <w:t xml:space="preserve"> - </w:t>
      </w:r>
      <w:hyperlink w:anchor="Par20" w:history="1">
        <w:r w:rsidRPr="005A321B">
          <w:rPr>
            <w:rFonts w:ascii="Times New Roman" w:eastAsia="Times New Roman" w:hAnsi="Times New Roman" w:cs="Times New Roman"/>
            <w:sz w:val="24"/>
            <w:szCs w:val="24"/>
            <w:lang w:eastAsia="ru-RU"/>
          </w:rPr>
          <w:t>восьмом</w:t>
        </w:r>
      </w:hyperlink>
      <w:r w:rsidRPr="005A321B">
        <w:rPr>
          <w:rFonts w:ascii="Times New Roman" w:eastAsia="Times New Roman" w:hAnsi="Times New Roman" w:cs="Times New Roman"/>
          <w:sz w:val="24"/>
          <w:szCs w:val="24"/>
          <w:lang w:eastAsia="ru-RU"/>
        </w:rPr>
        <w:t xml:space="preserve"> настоящего пункта, определяется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 на день, предшествующий дню проведения оценки представленных физическим лицом документов на предмет соответствия требованиям для признания его квалифицированным инвестором, как сумма их стоимости, при этом:</w:t>
      </w:r>
    </w:p>
    <w:p w14:paraId="031C374B"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 ценных бумаг (за исключением инвестиционных паев паевых инвестиционных фондов, указанных в </w:t>
      </w:r>
      <w:hyperlink r:id="rId17"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и паев (акций) иностранных инвестиционных фондов) определяется исходя из их рыночной цены в соответствии с </w:t>
      </w:r>
      <w:hyperlink r:id="rId18" w:history="1">
        <w:r w:rsidRPr="005A321B">
          <w:rPr>
            <w:rFonts w:ascii="Times New Roman" w:eastAsia="Times New Roman" w:hAnsi="Times New Roman" w:cs="Times New Roman"/>
            <w:sz w:val="24"/>
            <w:szCs w:val="24"/>
            <w:lang w:eastAsia="ru-RU"/>
          </w:rPr>
          <w:t>Порядком</w:t>
        </w:r>
      </w:hyperlink>
      <w:r w:rsidRPr="005A321B">
        <w:rPr>
          <w:rFonts w:ascii="Times New Roman" w:eastAsia="Times New Roman" w:hAnsi="Times New Roman" w:cs="Times New Roman"/>
          <w:sz w:val="24"/>
          <w:szCs w:val="24"/>
          <w:lang w:eastAsia="ru-RU"/>
        </w:rPr>
        <w:t xml:space="preserve"> определения рыночной цены ценных бумаг, расчетной цены ценных бумаг, а также предельной границы колебаний рыночной цены ценных бумаг в целях 23 главы Налогового кодекса Российской Федерации &lt;2&gt;, а при невозможности определения рыночной цены - исходя из цены их приобретения физическим лицом (для облигаций - исходя из цены их приобретения и накопленного купонного дохода);</w:t>
      </w:r>
    </w:p>
    <w:p w14:paraId="35CBA5A5"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09E7591" w14:textId="4D56AA28"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инвестиционных паев паевых инвестиционных фондов, указанных в </w:t>
      </w:r>
      <w:hyperlink r:id="rId19" w:history="1">
        <w:r w:rsidRPr="005A321B">
          <w:rPr>
            <w:rFonts w:ascii="Times New Roman" w:eastAsia="Times New Roman" w:hAnsi="Times New Roman" w:cs="Times New Roman"/>
            <w:sz w:val="24"/>
            <w:szCs w:val="24"/>
            <w:lang w:eastAsia="ru-RU"/>
          </w:rPr>
          <w:t>подпункте 4 пункта 2 статьи 3.1</w:t>
        </w:r>
      </w:hyperlink>
      <w:r w:rsidRPr="005A321B">
        <w:rPr>
          <w:rFonts w:ascii="Times New Roman" w:eastAsia="Times New Roman" w:hAnsi="Times New Roman" w:cs="Times New Roman"/>
          <w:sz w:val="24"/>
          <w:szCs w:val="24"/>
          <w:lang w:eastAsia="ru-RU"/>
        </w:rPr>
        <w:t xml:space="preserve"> Федерального закона "О рынке ценных бумаг", признается их расчетная стоимость, определенная на основании </w:t>
      </w:r>
      <w:hyperlink r:id="rId20" w:history="1">
        <w:r w:rsidRPr="005A321B">
          <w:rPr>
            <w:rFonts w:ascii="Times New Roman" w:eastAsia="Times New Roman" w:hAnsi="Times New Roman" w:cs="Times New Roman"/>
            <w:sz w:val="24"/>
            <w:szCs w:val="24"/>
            <w:lang w:eastAsia="ru-RU"/>
          </w:rPr>
          <w:t>пункта 6 статьи 26</w:t>
        </w:r>
      </w:hyperlink>
      <w:r w:rsidRPr="005A321B">
        <w:rPr>
          <w:rFonts w:ascii="Times New Roman" w:eastAsia="Times New Roman" w:hAnsi="Times New Roman" w:cs="Times New Roman"/>
          <w:sz w:val="24"/>
          <w:szCs w:val="24"/>
          <w:lang w:eastAsia="ru-RU"/>
        </w:rPr>
        <w:t xml:space="preserve"> Федерального закона от 29 ноября 2001 года N 156-ФЗ "Об инвестиционных фондах", на последнюю дату ее определения управляющей компанией паевого инвестиционного фонда, предшествующую дате определения их стоимости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3A113895" w14:textId="10CA92E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стоимостью паев (акций) иностранных инвестиционных фондов признается их расчетная стоимость на последнюю дату ее определения в соответствии с личным законом иностранного инвестиционного фонда, предшествующую дате определения их стоимости лицом, осуществляющим признание квалифицированным инвестором, в соответствии с личным законом такого фонда на основе стоимости его чистых активов в расчете на один пай (акцию), а если на дату определения стоимости паев (акций) иностранных инвестиционных фондов лицом, осуществляющим признание квалифицированным инвестором, их расчетная стоимость отсутствует, стоимость паев (акций) иностранных инвестиционных фондов определяется исходя из их последней цены по итогам торгов на иностранной фондовой бирже на дату, предшествующую дате определения стоимости паев (акций) иностранных инвестиционных фондов </w:t>
      </w:r>
      <w:r w:rsidR="001A695A">
        <w:rPr>
          <w:rFonts w:ascii="Times New Roman" w:eastAsia="Times New Roman" w:hAnsi="Times New Roman" w:cs="Times New Roman"/>
          <w:sz w:val="24"/>
          <w:szCs w:val="24"/>
          <w:lang w:eastAsia="ru-RU"/>
        </w:rPr>
        <w:t>Брокером</w:t>
      </w:r>
      <w:r w:rsidRPr="005A321B">
        <w:rPr>
          <w:rFonts w:ascii="Times New Roman" w:eastAsia="Times New Roman" w:hAnsi="Times New Roman" w:cs="Times New Roman"/>
          <w:sz w:val="24"/>
          <w:szCs w:val="24"/>
          <w:lang w:eastAsia="ru-RU"/>
        </w:rPr>
        <w:t>.</w:t>
      </w:r>
    </w:p>
    <w:p w14:paraId="41B47E1A" w14:textId="46718D1E"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9" w:name="Par34"/>
      <w:bookmarkEnd w:id="9"/>
      <w:r w:rsidRPr="005A321B">
        <w:rPr>
          <w:rFonts w:ascii="Times New Roman" w:eastAsia="Times New Roman" w:hAnsi="Times New Roman" w:cs="Times New Roman"/>
          <w:sz w:val="24"/>
          <w:szCs w:val="24"/>
          <w:lang w:eastAsia="ru-RU"/>
        </w:rPr>
        <w:t xml:space="preserve">1.5. Для признания физического лица квалифицированным инвестором в расчет размера дохода физического лица включаются все виды его доходов в денежной форме, а также в натуральной форме в виде ценных бумаг, указанных в </w:t>
      </w:r>
      <w:hyperlink w:anchor="Par2" w:history="1">
        <w:r w:rsidRPr="005A321B">
          <w:rPr>
            <w:rFonts w:ascii="Times New Roman" w:eastAsia="Times New Roman" w:hAnsi="Times New Roman" w:cs="Times New Roman"/>
            <w:sz w:val="24"/>
            <w:szCs w:val="24"/>
            <w:lang w:eastAsia="ru-RU"/>
          </w:rPr>
          <w:t>абзацах втором</w:t>
        </w:r>
      </w:hyperlink>
      <w:r w:rsidRPr="005A321B">
        <w:rPr>
          <w:rFonts w:ascii="Times New Roman" w:eastAsia="Times New Roman" w:hAnsi="Times New Roman" w:cs="Times New Roman"/>
          <w:sz w:val="24"/>
          <w:szCs w:val="24"/>
          <w:lang w:eastAsia="ru-RU"/>
        </w:rPr>
        <w:t xml:space="preserve"> - </w:t>
      </w:r>
      <w:hyperlink w:anchor="Par9" w:history="1">
        <w:r w:rsidRPr="005A321B">
          <w:rPr>
            <w:rFonts w:ascii="Times New Roman" w:eastAsia="Times New Roman" w:hAnsi="Times New Roman" w:cs="Times New Roman"/>
            <w:sz w:val="24"/>
            <w:szCs w:val="24"/>
            <w:lang w:eastAsia="ru-RU"/>
          </w:rPr>
          <w:t>девятом пункта 1.2</w:t>
        </w:r>
      </w:hyperlink>
      <w:r w:rsidRPr="005A321B">
        <w:rPr>
          <w:rFonts w:ascii="Times New Roman" w:eastAsia="Times New Roman" w:hAnsi="Times New Roman" w:cs="Times New Roman"/>
          <w:sz w:val="24"/>
          <w:szCs w:val="24"/>
          <w:lang w:eastAsia="ru-RU"/>
        </w:rPr>
        <w:t xml:space="preserve"> </w:t>
      </w:r>
      <w:r w:rsidR="001A695A">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учитываемые при определении налоговой базы по налогу на доходы физических лиц в соответствии с законодательством Российской Федерации о налогах и сборах, без учета полученных физическим лицом налоговых вычетов. В расчет размера дохода физического лица не включаются доходы, облагаемые налогом на доходы физических лиц, полученные физическим лицом от продажи объектов недвижимого имущества.</w:t>
      </w:r>
    </w:p>
    <w:p w14:paraId="44567A58" w14:textId="26646E5C"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Размер дохода физического лица за два года, предшествующие году, в котором физическое лицо подало заявление о признании его квалифицированным инвестором, в среднем должен составлять не менее 12 миллионов рублей в год, а при наличии у физического лица образования или ученой степени, </w:t>
      </w:r>
      <w:r w:rsidRPr="00CA603F">
        <w:rPr>
          <w:rFonts w:ascii="Times New Roman" w:eastAsia="Times New Roman" w:hAnsi="Times New Roman" w:cs="Times New Roman"/>
          <w:sz w:val="24"/>
          <w:szCs w:val="24"/>
          <w:lang w:eastAsia="ru-RU"/>
        </w:rPr>
        <w:t xml:space="preserve">предусмотренных </w:t>
      </w:r>
      <w:hyperlink w:anchor="Par55" w:history="1">
        <w:r w:rsidR="00032948" w:rsidRPr="00CA603F">
          <w:rPr>
            <w:rFonts w:ascii="Times New Roman" w:eastAsia="Times New Roman" w:hAnsi="Times New Roman" w:cs="Times New Roman"/>
            <w:sz w:val="24"/>
            <w:szCs w:val="24"/>
            <w:lang w:eastAsia="ru-RU"/>
          </w:rPr>
          <w:t>абзацем вторым пункта 1.</w:t>
        </w:r>
        <w:r w:rsidR="00032948">
          <w:rPr>
            <w:rFonts w:ascii="Times New Roman" w:eastAsia="Times New Roman" w:hAnsi="Times New Roman" w:cs="Times New Roman"/>
            <w:sz w:val="24"/>
            <w:szCs w:val="24"/>
            <w:lang w:eastAsia="ru-RU"/>
          </w:rPr>
          <w:t>8</w:t>
        </w:r>
      </w:hyperlink>
      <w:r w:rsidR="00032948" w:rsidRPr="00CA603F">
        <w:rPr>
          <w:rFonts w:ascii="Times New Roman" w:eastAsia="Times New Roman" w:hAnsi="Times New Roman" w:cs="Times New Roman"/>
          <w:sz w:val="24"/>
          <w:szCs w:val="24"/>
          <w:lang w:eastAsia="ru-RU"/>
        </w:rPr>
        <w:t xml:space="preserve"> </w:t>
      </w:r>
      <w:r w:rsidR="00CA603F" w:rsidRPr="00270940">
        <w:rPr>
          <w:rFonts w:ascii="Times New Roman" w:eastAsia="Times New Roman" w:hAnsi="Times New Roman" w:cs="Times New Roman"/>
          <w:sz w:val="24"/>
          <w:szCs w:val="24"/>
          <w:lang w:eastAsia="ru-RU"/>
        </w:rPr>
        <w:t>Приложения12</w:t>
      </w:r>
      <w:r w:rsidRPr="005A321B">
        <w:rPr>
          <w:rFonts w:ascii="Times New Roman" w:eastAsia="Times New Roman" w:hAnsi="Times New Roman" w:cs="Times New Roman"/>
          <w:sz w:val="24"/>
          <w:szCs w:val="24"/>
          <w:lang w:eastAsia="ru-RU"/>
        </w:rPr>
        <w:t>, либо подтверждения наличия у физического лица знаний - не менее 6 миллионов рублей в год.</w:t>
      </w:r>
    </w:p>
    <w:p w14:paraId="5DA8C5D2" w14:textId="6EAFD1C2"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6</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квалификации в сфере финансовых рынков, подтвержденной свидетельством о квалификации, выданным в соответствии с </w:t>
      </w:r>
      <w:hyperlink r:id="rId21" w:history="1">
        <w:r w:rsidRPr="005A321B">
          <w:rPr>
            <w:rFonts w:ascii="Times New Roman" w:eastAsia="Times New Roman" w:hAnsi="Times New Roman" w:cs="Times New Roman"/>
            <w:sz w:val="24"/>
            <w:szCs w:val="24"/>
            <w:lang w:eastAsia="ru-RU"/>
          </w:rPr>
          <w:t>частью 4 статьи 4</w:t>
        </w:r>
      </w:hyperlink>
      <w:r w:rsidRPr="005A321B">
        <w:rPr>
          <w:rFonts w:ascii="Times New Roman" w:eastAsia="Times New Roman" w:hAnsi="Times New Roman" w:cs="Times New Roman"/>
          <w:sz w:val="24"/>
          <w:szCs w:val="24"/>
          <w:lang w:eastAsia="ru-RU"/>
        </w:rPr>
        <w:t xml:space="preserve"> Федерального закона от 3 июля 2016 года N 238-ФЗ "О независимой оценке квалификации", по профессиональному стандарту "</w:t>
      </w:r>
      <w:hyperlink r:id="rId22"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рынка ценных бумаг" или "</w:t>
      </w:r>
      <w:hyperlink r:id="rId23" w:history="1">
        <w:r w:rsidRPr="005A321B">
          <w:rPr>
            <w:rFonts w:ascii="Times New Roman" w:eastAsia="Times New Roman" w:hAnsi="Times New Roman" w:cs="Times New Roman"/>
            <w:sz w:val="24"/>
            <w:szCs w:val="24"/>
            <w:lang w:eastAsia="ru-RU"/>
          </w:rPr>
          <w:t>Специалист</w:t>
        </w:r>
      </w:hyperlink>
      <w:r w:rsidRPr="005A321B">
        <w:rPr>
          <w:rFonts w:ascii="Times New Roman" w:eastAsia="Times New Roman" w:hAnsi="Times New Roman" w:cs="Times New Roman"/>
          <w:sz w:val="24"/>
          <w:szCs w:val="24"/>
          <w:lang w:eastAsia="ru-RU"/>
        </w:rPr>
        <w:t xml:space="preserve"> по финансовому консультированию".</w:t>
      </w:r>
    </w:p>
    <w:p w14:paraId="63C8C727" w14:textId="77777777" w:rsidR="005A321B" w:rsidRPr="005A321B" w:rsidRDefault="005A321B" w:rsidP="005A321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88D009B" w14:textId="6A0EF2F0" w:rsidR="005A321B" w:rsidRPr="005A321B" w:rsidRDefault="005A321B" w:rsidP="005A321B">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7</w:t>
      </w:r>
      <w:r w:rsidRPr="005A321B">
        <w:rPr>
          <w:rFonts w:ascii="Times New Roman" w:eastAsia="Times New Roman" w:hAnsi="Times New Roman" w:cs="Times New Roman"/>
          <w:sz w:val="24"/>
          <w:szCs w:val="24"/>
          <w:lang w:eastAsia="ru-RU"/>
        </w:rPr>
        <w:t>. Для признания физического лица квалифицированным инвестором необходимо наличие у него не менее одного из следующих сертификатов:</w:t>
      </w:r>
    </w:p>
    <w:p w14:paraId="445D0131"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"Chartered Financial Analyst (CFA)";</w:t>
      </w:r>
    </w:p>
    <w:p w14:paraId="3F038832"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"Certified International Investment Analyst (CIIA)";</w:t>
      </w:r>
    </w:p>
    <w:p w14:paraId="058CC660"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Risk Manager (FRM)";</w:t>
      </w:r>
    </w:p>
    <w:p w14:paraId="04A30D0C"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"International Certificate in Advanced Wealth Management" (ICAWM);</w:t>
      </w:r>
    </w:p>
    <w:p w14:paraId="7E38335D"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"Investment Management Specialist";</w:t>
      </w:r>
    </w:p>
    <w:p w14:paraId="4D1764DB" w14:textId="77777777" w:rsidR="005A321B" w:rsidRPr="00BA045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val="en-US" w:eastAsia="ru-RU"/>
        </w:rPr>
      </w:pPr>
      <w:r w:rsidRPr="005A321B">
        <w:rPr>
          <w:rFonts w:ascii="Times New Roman" w:eastAsia="Times New Roman" w:hAnsi="Times New Roman" w:cs="Times New Roman"/>
          <w:sz w:val="24"/>
          <w:szCs w:val="24"/>
          <w:lang w:eastAsia="ru-RU"/>
        </w:rPr>
        <w:t>сертификат</w:t>
      </w:r>
      <w:r w:rsidRPr="00BA045B">
        <w:rPr>
          <w:rFonts w:ascii="Times New Roman" w:eastAsia="Times New Roman" w:hAnsi="Times New Roman" w:cs="Times New Roman"/>
          <w:sz w:val="24"/>
          <w:szCs w:val="24"/>
          <w:lang w:val="en-US" w:eastAsia="ru-RU"/>
        </w:rPr>
        <w:t xml:space="preserve"> "Financial Adviser";</w:t>
      </w:r>
    </w:p>
    <w:p w14:paraId="1584F8F5"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r w:rsidRPr="005A321B">
        <w:rPr>
          <w:rFonts w:ascii="Times New Roman" w:eastAsia="Times New Roman" w:hAnsi="Times New Roman" w:cs="Times New Roman"/>
          <w:sz w:val="24"/>
          <w:szCs w:val="24"/>
          <w:lang w:eastAsia="ru-RU"/>
        </w:rPr>
        <w:t xml:space="preserve">сертификат "Certified Financial </w:t>
      </w:r>
      <w:proofErr w:type="spellStart"/>
      <w:r w:rsidRPr="005A321B">
        <w:rPr>
          <w:rFonts w:ascii="Times New Roman" w:eastAsia="Times New Roman" w:hAnsi="Times New Roman" w:cs="Times New Roman"/>
          <w:sz w:val="24"/>
          <w:szCs w:val="24"/>
          <w:lang w:eastAsia="ru-RU"/>
        </w:rPr>
        <w:t>Planner</w:t>
      </w:r>
      <w:proofErr w:type="spellEnd"/>
      <w:r w:rsidRPr="005A321B">
        <w:rPr>
          <w:rFonts w:ascii="Times New Roman" w:eastAsia="Times New Roman" w:hAnsi="Times New Roman" w:cs="Times New Roman"/>
          <w:sz w:val="24"/>
          <w:szCs w:val="24"/>
          <w:lang w:eastAsia="ru-RU"/>
        </w:rPr>
        <w:t>".</w:t>
      </w:r>
    </w:p>
    <w:p w14:paraId="294F88DA" w14:textId="5A8ADDF1"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0" w:name="Par54"/>
      <w:bookmarkEnd w:id="10"/>
      <w:r w:rsidRPr="005A321B">
        <w:rPr>
          <w:rFonts w:ascii="Times New Roman" w:eastAsia="Times New Roman" w:hAnsi="Times New Roman" w:cs="Times New Roman"/>
          <w:sz w:val="24"/>
          <w:szCs w:val="24"/>
          <w:lang w:eastAsia="ru-RU"/>
        </w:rPr>
        <w:t>1.</w:t>
      </w:r>
      <w:r w:rsidR="00032948">
        <w:rPr>
          <w:rFonts w:ascii="Times New Roman" w:eastAsia="Times New Roman" w:hAnsi="Times New Roman" w:cs="Times New Roman"/>
          <w:sz w:val="24"/>
          <w:szCs w:val="24"/>
          <w:lang w:eastAsia="ru-RU"/>
        </w:rPr>
        <w:t>8</w:t>
      </w:r>
      <w:r w:rsidRPr="005A321B">
        <w:rPr>
          <w:rFonts w:ascii="Times New Roman" w:eastAsia="Times New Roman" w:hAnsi="Times New Roman" w:cs="Times New Roman"/>
          <w:sz w:val="24"/>
          <w:szCs w:val="24"/>
          <w:lang w:eastAsia="ru-RU"/>
        </w:rPr>
        <w:t xml:space="preserve">. Для признания физического лица квалифицированным инвестором необходимо наличие у него высшего образования по специальности по программе специалитета "Финансы и кредит" либо направлениям подготовки высшего образования по программе магистратуры "Финансы и кредит" или "Финансы", полученного в образовательных организациях высшего образования, которые на дату подачи заявления физического лица о признании его квалифицированным инвестором в соответствии с </w:t>
      </w:r>
      <w:hyperlink r:id="rId24" w:history="1">
        <w:r w:rsidRPr="005A321B">
          <w:rPr>
            <w:rFonts w:ascii="Times New Roman" w:eastAsia="Times New Roman" w:hAnsi="Times New Roman" w:cs="Times New Roman"/>
            <w:sz w:val="24"/>
            <w:szCs w:val="24"/>
            <w:lang w:eastAsia="ru-RU"/>
          </w:rPr>
          <w:t>частью 10 статьи 11</w:t>
        </w:r>
      </w:hyperlink>
      <w:r w:rsidRPr="005A321B">
        <w:rPr>
          <w:rFonts w:ascii="Times New Roman" w:eastAsia="Times New Roman" w:hAnsi="Times New Roman" w:cs="Times New Roman"/>
          <w:sz w:val="24"/>
          <w:szCs w:val="24"/>
          <w:lang w:eastAsia="ru-RU"/>
        </w:rPr>
        <w:t xml:space="preserve"> Федерального закона от 29 декабря 2012 года N 273-ФЗ "Об образовании в Российской Федерации" вправе разрабатывать и утверждать самостоятельно образовательные стандарты по программам специалитета и программам магистратуры, или в научных организациях и образовательных организациях высшего образования, предусмотренных </w:t>
      </w:r>
      <w:hyperlink r:id="rId25" w:history="1">
        <w:r w:rsidRPr="005A321B">
          <w:rPr>
            <w:rFonts w:ascii="Times New Roman" w:eastAsia="Times New Roman" w:hAnsi="Times New Roman" w:cs="Times New Roman"/>
            <w:sz w:val="24"/>
            <w:szCs w:val="24"/>
            <w:lang w:eastAsia="ru-RU"/>
          </w:rPr>
          <w:t>абзацем первым пункта 3.1 статьи 4</w:t>
        </w:r>
      </w:hyperlink>
      <w:r w:rsidRPr="005A321B">
        <w:rPr>
          <w:rFonts w:ascii="Times New Roman" w:eastAsia="Times New Roman" w:hAnsi="Times New Roman" w:cs="Times New Roman"/>
          <w:sz w:val="24"/>
          <w:szCs w:val="24"/>
          <w:lang w:eastAsia="ru-RU"/>
        </w:rPr>
        <w:t xml:space="preserve"> Федерального закона от 23 августа 1996 года N 127-ФЗ "О науке и государственной научно-технической политике", либо предусмотренной государственной системой научной аттестации ученой степени кандидата или доктора экономических наук по научной специальности "Финансы, денежное обращение и кредит" или "Финансы".</w:t>
      </w:r>
    </w:p>
    <w:p w14:paraId="6B41CF5C" w14:textId="77777777" w:rsidR="005A321B" w:rsidRPr="005A321B" w:rsidRDefault="005A321B" w:rsidP="005A321B">
      <w:pPr>
        <w:autoSpaceDE w:val="0"/>
        <w:autoSpaceDN w:val="0"/>
        <w:adjustRightInd w:val="0"/>
        <w:spacing w:before="220" w:after="0" w:line="240" w:lineRule="auto"/>
        <w:ind w:firstLine="540"/>
        <w:jc w:val="both"/>
        <w:rPr>
          <w:rFonts w:ascii="Times New Roman" w:eastAsia="Times New Roman" w:hAnsi="Times New Roman" w:cs="Times New Roman"/>
          <w:sz w:val="24"/>
          <w:szCs w:val="24"/>
          <w:lang w:eastAsia="ru-RU"/>
        </w:rPr>
      </w:pPr>
      <w:bookmarkStart w:id="11" w:name="Par55"/>
      <w:bookmarkEnd w:id="11"/>
      <w:r w:rsidRPr="005A321B">
        <w:rPr>
          <w:rFonts w:ascii="Times New Roman" w:eastAsia="Times New Roman" w:hAnsi="Times New Roman" w:cs="Times New Roman"/>
          <w:sz w:val="24"/>
          <w:szCs w:val="24"/>
          <w:lang w:eastAsia="ru-RU"/>
        </w:rPr>
        <w:t xml:space="preserve">При признании физического лица квалифицированным инвестором учитывается наличие у него высшего образования, полученного в организациях, указанных в </w:t>
      </w:r>
      <w:hyperlink w:anchor="Par54" w:history="1">
        <w:r w:rsidRPr="005A321B">
          <w:rPr>
            <w:rFonts w:ascii="Times New Roman" w:eastAsia="Times New Roman" w:hAnsi="Times New Roman" w:cs="Times New Roman"/>
            <w:sz w:val="24"/>
            <w:szCs w:val="24"/>
            <w:lang w:eastAsia="ru-RU"/>
          </w:rPr>
          <w:t>абзаце первом</w:t>
        </w:r>
      </w:hyperlink>
      <w:r w:rsidRPr="005A321B">
        <w:rPr>
          <w:rFonts w:ascii="Times New Roman" w:eastAsia="Times New Roman" w:hAnsi="Times New Roman" w:cs="Times New Roman"/>
          <w:sz w:val="24"/>
          <w:szCs w:val="24"/>
          <w:lang w:eastAsia="ru-RU"/>
        </w:rPr>
        <w:t xml:space="preserve"> настоящего пункта, по специальностям по программе специалитета "Теоретическая экономика", или "Экономическая теория", или "Математические методы и исследование операций в экономике", или "Мировая экономика", или "Бухгалтерский учет, анализ и аудит", или "Бухгалтерский учет и аудит", или "Налоги и налогообложение" или направлению подготовки высшего образования по программе бакалавриата (магистратуры) "Экономика" либо наличие предусмотренной государственной системой научной аттестации ученой степени кандидата или доктора экономических наук по научной специальности "Политическая экономия", или "Экономическая теория", или "Математические, статистические, инструментальные методы в экономике", или "Региональная и отраслевая экономика", или "Мировая экономика", или "Бухгалтерский учет, статистика".</w:t>
      </w:r>
    </w:p>
    <w:p w14:paraId="2BBE5C9F" w14:textId="77777777" w:rsidR="0025140C" w:rsidRPr="005A321B" w:rsidRDefault="0025140C">
      <w:pPr>
        <w:rPr>
          <w:rFonts w:ascii="Times New Roman" w:eastAsia="Times New Roman" w:hAnsi="Times New Roman" w:cs="Times New Roman"/>
          <w:sz w:val="24"/>
          <w:szCs w:val="24"/>
          <w:lang w:eastAsia="ru-RU"/>
        </w:rPr>
      </w:pPr>
    </w:p>
    <w:sectPr w:rsidR="0025140C" w:rsidRPr="005A32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E01"/>
    <w:rsid w:val="00032948"/>
    <w:rsid w:val="001A695A"/>
    <w:rsid w:val="0025140C"/>
    <w:rsid w:val="00270940"/>
    <w:rsid w:val="004445B6"/>
    <w:rsid w:val="005A321B"/>
    <w:rsid w:val="00887E01"/>
    <w:rsid w:val="00BA045B"/>
    <w:rsid w:val="00CA603F"/>
    <w:rsid w:val="00EE2A3B"/>
    <w:rsid w:val="00FE3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6F036"/>
  <w15:chartTrackingRefBased/>
  <w15:docId w15:val="{C946CC9D-1BBF-49B9-BBD1-AA5637936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30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6708&amp;dst=1130" TargetMode="External"/><Relationship Id="rId13" Type="http://schemas.openxmlformats.org/officeDocument/2006/relationships/hyperlink" Target="https://login.consultant.ru/link/?req=doc&amp;base=LAW&amp;n=496708&amp;dst=3146" TargetMode="External"/><Relationship Id="rId18" Type="http://schemas.openxmlformats.org/officeDocument/2006/relationships/hyperlink" Target="https://login.consultant.ru/link/?req=doc&amp;base=LAW&amp;n=132795&amp;dst=100011"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https://login.consultant.ru/link/?req=doc&amp;base=LAW&amp;n=200485&amp;dst=100036" TargetMode="External"/><Relationship Id="rId7" Type="http://schemas.openxmlformats.org/officeDocument/2006/relationships/hyperlink" Target="https://login.consultant.ru/link/?req=doc&amp;base=LAW&amp;n=496708&amp;dst=101767" TargetMode="External"/><Relationship Id="rId12" Type="http://schemas.openxmlformats.org/officeDocument/2006/relationships/hyperlink" Target="https://login.consultant.ru/link/?req=doc&amp;base=LAW&amp;n=505912&amp;dst=802" TargetMode="External"/><Relationship Id="rId17" Type="http://schemas.openxmlformats.org/officeDocument/2006/relationships/hyperlink" Target="https://login.consultant.ru/link/?req=doc&amp;base=LAW&amp;n=496708&amp;dst=3146" TargetMode="External"/><Relationship Id="rId25" Type="http://schemas.openxmlformats.org/officeDocument/2006/relationships/hyperlink" Target="https://login.consultant.ru/link/?req=doc&amp;base=LAW&amp;n=508491&amp;dst=446" TargetMode="External"/><Relationship Id="rId2" Type="http://schemas.openxmlformats.org/officeDocument/2006/relationships/settings" Target="settings.xml"/><Relationship Id="rId16" Type="http://schemas.openxmlformats.org/officeDocument/2006/relationships/hyperlink" Target="https://login.consultant.ru/link/?req=doc&amp;base=LAW&amp;n=487893&amp;dst=100009" TargetMode="External"/><Relationship Id="rId20" Type="http://schemas.openxmlformats.org/officeDocument/2006/relationships/hyperlink" Target="https://login.consultant.ru/link/?req=doc&amp;base=LAW&amp;n=495476&amp;dst=489" TargetMode="External"/><Relationship Id="rId1" Type="http://schemas.openxmlformats.org/officeDocument/2006/relationships/styles" Target="styles.xml"/><Relationship Id="rId6" Type="http://schemas.openxmlformats.org/officeDocument/2006/relationships/hyperlink" Target="https://login.consultant.ru/link/?req=doc&amp;base=LAW&amp;n=496708&amp;dst=3054" TargetMode="External"/><Relationship Id="rId11" Type="http://schemas.openxmlformats.org/officeDocument/2006/relationships/hyperlink" Target="https://login.consultant.ru/link/?req=doc&amp;base=LAW&amp;n=496708&amp;dst=2683" TargetMode="External"/><Relationship Id="rId24" Type="http://schemas.openxmlformats.org/officeDocument/2006/relationships/hyperlink" Target="https://login.consultant.ru/link/?req=doc&amp;base=LAW&amp;n=505886&amp;dst=776" TargetMode="External"/><Relationship Id="rId5" Type="http://schemas.openxmlformats.org/officeDocument/2006/relationships/hyperlink" Target="https://login.consultant.ru/link/?req=doc&amp;base=LAW&amp;n=496708&amp;dst=195" TargetMode="External"/><Relationship Id="rId15" Type="http://schemas.openxmlformats.org/officeDocument/2006/relationships/hyperlink" Target="https://login.consultant.ru/link/?req=doc&amp;base=LAW&amp;n=487893&amp;dst=100007" TargetMode="External"/><Relationship Id="rId23" Type="http://schemas.openxmlformats.org/officeDocument/2006/relationships/hyperlink" Target="https://login.consultant.ru/link/?req=doc&amp;base=LAW&amp;n=178208&amp;dst=100009" TargetMode="External"/><Relationship Id="rId10" Type="http://schemas.openxmlformats.org/officeDocument/2006/relationships/hyperlink" Target="https://login.consultant.ru/link/?req=doc&amp;base=LAW&amp;n=496708&amp;dst=1130" TargetMode="External"/><Relationship Id="rId19" Type="http://schemas.openxmlformats.org/officeDocument/2006/relationships/hyperlink" Target="https://login.consultant.ru/link/?req=doc&amp;base=LAW&amp;n=496708&amp;dst=3146" TargetMode="External"/><Relationship Id="rId4" Type="http://schemas.openxmlformats.org/officeDocument/2006/relationships/hyperlink" Target="https://login.consultant.ru/link/?req=doc&amp;base=LAW&amp;n=496708&amp;dst=195" TargetMode="External"/><Relationship Id="rId9" Type="http://schemas.openxmlformats.org/officeDocument/2006/relationships/hyperlink" Target="https://login.consultant.ru/link/?req=doc&amp;base=LAW&amp;n=496708&amp;dst=101767" TargetMode="External"/><Relationship Id="rId14" Type="http://schemas.openxmlformats.org/officeDocument/2006/relationships/hyperlink" Target="https://login.consultant.ru/link/?req=doc&amp;base=LAW&amp;n=485965" TargetMode="External"/><Relationship Id="rId22" Type="http://schemas.openxmlformats.org/officeDocument/2006/relationships/hyperlink" Target="https://login.consultant.ru/link/?req=doc&amp;base=LAW&amp;n=177743&amp;dst=100009"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2546</Words>
  <Characters>14514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KARMAZOV, Konstantin Y. (UniCredit Bank - RUS)</dc:creator>
  <cp:keywords/>
  <dc:description/>
  <cp:lastModifiedBy>NIKUSHINA, Natalya (UniCredit Bank - RUS)</cp:lastModifiedBy>
  <cp:revision>2</cp:revision>
  <dcterms:created xsi:type="dcterms:W3CDTF">2025-09-10T09:05:00Z</dcterms:created>
  <dcterms:modified xsi:type="dcterms:W3CDTF">2025-09-10T09:05:00Z</dcterms:modified>
</cp:coreProperties>
</file>