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8B493" w14:textId="77777777" w:rsidR="00414B47" w:rsidRDefault="00AE6389" w:rsidP="00414B47">
      <w:pPr>
        <w:rPr>
          <w:rFonts w:ascii="UniCredit" w:hAnsi="UniCredit"/>
          <w:caps/>
          <w:szCs w:val="22"/>
        </w:rPr>
      </w:pPr>
      <w:r w:rsidRPr="00AE6389">
        <w:rPr>
          <w:rFonts w:ascii="UniCredit" w:hAnsi="UniCredit"/>
          <w:caps/>
          <w:noProof/>
          <w:szCs w:val="22"/>
          <w:lang w:val="ru-RU" w:eastAsia="ru-RU"/>
        </w:rPr>
        <w:drawing>
          <wp:inline distT="0" distB="0" distL="0" distR="0" wp14:anchorId="56E7A1C2" wp14:editId="0F3571A3">
            <wp:extent cx="6372860" cy="295910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c_blanks_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44670" w14:textId="77777777" w:rsidR="0006361E" w:rsidRPr="00C71081" w:rsidRDefault="0006361E" w:rsidP="00414B47">
      <w:pPr>
        <w:rPr>
          <w:rFonts w:ascii="UniCredit" w:hAnsi="UniCredit"/>
          <w:caps/>
          <w:sz w:val="8"/>
          <w:szCs w:val="8"/>
        </w:rPr>
      </w:pPr>
    </w:p>
    <w:p w14:paraId="704F2B20" w14:textId="77777777" w:rsidR="0006361E" w:rsidRPr="00AE6389" w:rsidRDefault="0006361E" w:rsidP="0006361E">
      <w:pPr>
        <w:jc w:val="right"/>
        <w:rPr>
          <w:rFonts w:ascii="UniCredit" w:hAnsi="UniCredit"/>
          <w:sz w:val="18"/>
          <w:szCs w:val="18"/>
          <w:lang w:val="ru-RU"/>
        </w:rPr>
      </w:pPr>
      <w:r w:rsidRPr="00AE6389">
        <w:rPr>
          <w:rFonts w:ascii="UniCredit" w:hAnsi="UniCredit"/>
          <w:sz w:val="18"/>
          <w:szCs w:val="18"/>
          <w:lang w:val="ru-RU"/>
        </w:rPr>
        <w:t xml:space="preserve">УТВЕРЖДЕНЫ </w:t>
      </w:r>
    </w:p>
    <w:p w14:paraId="467A0921" w14:textId="2CDE5EC1" w:rsidR="0006361E" w:rsidRDefault="00BD7F32" w:rsidP="00A9389D">
      <w:pPr>
        <w:jc w:val="right"/>
        <w:rPr>
          <w:rFonts w:ascii="UniCredit" w:hAnsi="UniCredit"/>
          <w:sz w:val="16"/>
          <w:szCs w:val="18"/>
          <w:lang w:val="ru-RU"/>
        </w:rPr>
      </w:pPr>
      <w:r>
        <w:rPr>
          <w:rFonts w:ascii="UniCredit" w:hAnsi="UniCredit"/>
          <w:sz w:val="16"/>
          <w:szCs w:val="18"/>
          <w:lang w:val="ru-RU"/>
        </w:rPr>
        <w:t xml:space="preserve">Приказом по Банку </w:t>
      </w:r>
      <w:r w:rsidR="00D9495E">
        <w:rPr>
          <w:rFonts w:ascii="UniCredit" w:hAnsi="UniCredit"/>
          <w:sz w:val="16"/>
          <w:szCs w:val="18"/>
          <w:lang w:val="ru-RU"/>
        </w:rPr>
        <w:t>№</w:t>
      </w:r>
      <w:r w:rsidR="00F138B3" w:rsidRPr="00F138B3">
        <w:rPr>
          <w:rFonts w:ascii="UniCredit" w:hAnsi="UniCredit"/>
          <w:sz w:val="16"/>
          <w:szCs w:val="18"/>
          <w:lang w:val="ru-RU"/>
        </w:rPr>
        <w:t>1152-</w:t>
      </w:r>
      <w:r w:rsidR="00F138B3">
        <w:rPr>
          <w:rFonts w:ascii="UniCredit" w:hAnsi="UniCredit"/>
          <w:sz w:val="16"/>
          <w:szCs w:val="18"/>
          <w:lang w:val="ru-RU"/>
        </w:rPr>
        <w:t>П</w:t>
      </w:r>
      <w:r w:rsidR="00C305D7">
        <w:rPr>
          <w:rFonts w:ascii="UniCredit" w:hAnsi="UniCredit"/>
          <w:sz w:val="16"/>
          <w:szCs w:val="18"/>
          <w:lang w:val="ru-RU"/>
        </w:rPr>
        <w:t xml:space="preserve"> </w:t>
      </w:r>
      <w:r w:rsidRPr="004106E6">
        <w:rPr>
          <w:rFonts w:ascii="UniCredit" w:hAnsi="UniCredit"/>
          <w:sz w:val="16"/>
          <w:szCs w:val="18"/>
          <w:lang w:val="ru-RU"/>
        </w:rPr>
        <w:t xml:space="preserve">от </w:t>
      </w:r>
      <w:r w:rsidR="00F138B3">
        <w:rPr>
          <w:rFonts w:ascii="UniCredit" w:hAnsi="UniCredit"/>
          <w:sz w:val="16"/>
          <w:szCs w:val="18"/>
          <w:lang w:val="ru-RU"/>
        </w:rPr>
        <w:t>10.08</w:t>
      </w:r>
      <w:r w:rsidRPr="004106E6">
        <w:rPr>
          <w:rFonts w:ascii="UniCredit" w:hAnsi="UniCredit"/>
          <w:sz w:val="16"/>
          <w:szCs w:val="18"/>
          <w:lang w:val="ru-RU"/>
        </w:rPr>
        <w:t>.202</w:t>
      </w:r>
      <w:r>
        <w:rPr>
          <w:rFonts w:ascii="UniCredit" w:hAnsi="UniCredit"/>
          <w:sz w:val="16"/>
          <w:szCs w:val="18"/>
          <w:lang w:val="ru-RU"/>
        </w:rPr>
        <w:t>3</w:t>
      </w:r>
      <w:r w:rsidR="004118F1">
        <w:rPr>
          <w:rFonts w:ascii="UniCredit" w:hAnsi="UniCredit"/>
          <w:sz w:val="16"/>
          <w:szCs w:val="18"/>
          <w:lang w:val="ru-RU"/>
        </w:rPr>
        <w:t>.</w:t>
      </w:r>
    </w:p>
    <w:p w14:paraId="364AFE5C" w14:textId="43073A00" w:rsidR="00AF009A" w:rsidRDefault="00AF009A" w:rsidP="00A9389D">
      <w:pPr>
        <w:jc w:val="right"/>
        <w:rPr>
          <w:rFonts w:ascii="UniCredit" w:hAnsi="UniCredit"/>
          <w:sz w:val="16"/>
          <w:szCs w:val="18"/>
          <w:lang w:val="ru-RU"/>
        </w:rPr>
      </w:pPr>
      <w:r>
        <w:rPr>
          <w:rFonts w:ascii="UniCredit" w:hAnsi="UniCredit"/>
          <w:sz w:val="16"/>
          <w:szCs w:val="18"/>
          <w:lang w:val="ru-RU"/>
        </w:rPr>
        <w:t>с изм. утв. Приказом по Банку №</w:t>
      </w:r>
      <w:r w:rsidRPr="00AF009A">
        <w:rPr>
          <w:rFonts w:ascii="UniCredit" w:hAnsi="UniCredit"/>
          <w:sz w:val="16"/>
          <w:szCs w:val="18"/>
          <w:lang w:val="ru-RU"/>
        </w:rPr>
        <w:t>1315-П от 31.08.2023</w:t>
      </w:r>
    </w:p>
    <w:p w14:paraId="1152B3FC" w14:textId="77777777" w:rsidR="00023F14" w:rsidRDefault="00D9495E" w:rsidP="00A9389D">
      <w:pPr>
        <w:jc w:val="right"/>
        <w:rPr>
          <w:rFonts w:ascii="UniCredit" w:hAnsi="UniCredit"/>
          <w:sz w:val="16"/>
          <w:szCs w:val="18"/>
          <w:lang w:val="ru-RU"/>
        </w:rPr>
      </w:pPr>
      <w:r>
        <w:rPr>
          <w:rFonts w:ascii="UniCredit" w:hAnsi="UniCredit"/>
          <w:sz w:val="16"/>
          <w:szCs w:val="18"/>
          <w:lang w:val="ru-RU"/>
        </w:rPr>
        <w:t>с изм. утв. Приказом по Банку №</w:t>
      </w:r>
      <w:r w:rsidRPr="00D9495E">
        <w:rPr>
          <w:rFonts w:ascii="UniCredit" w:hAnsi="UniCredit"/>
          <w:sz w:val="16"/>
          <w:szCs w:val="18"/>
          <w:lang w:val="ru-RU"/>
        </w:rPr>
        <w:t>1820-П от 13.11.2023</w:t>
      </w:r>
    </w:p>
    <w:p w14:paraId="45ED3C5B" w14:textId="77777777" w:rsidR="00852645" w:rsidRDefault="00023F14" w:rsidP="00A9389D">
      <w:pPr>
        <w:jc w:val="right"/>
        <w:rPr>
          <w:rFonts w:ascii="UniCredit" w:hAnsi="UniCredit"/>
          <w:sz w:val="16"/>
          <w:szCs w:val="18"/>
          <w:lang w:val="ru-RU"/>
        </w:rPr>
      </w:pPr>
      <w:r>
        <w:rPr>
          <w:rFonts w:ascii="UniCredit" w:hAnsi="UniCredit"/>
          <w:sz w:val="16"/>
          <w:szCs w:val="18"/>
          <w:lang w:val="ru-RU"/>
        </w:rPr>
        <w:t xml:space="preserve">с изм. утв. Приказом по Банку </w:t>
      </w:r>
      <w:r w:rsidRPr="00023F14">
        <w:rPr>
          <w:rFonts w:ascii="UniCredit" w:hAnsi="UniCredit"/>
          <w:sz w:val="16"/>
          <w:szCs w:val="18"/>
          <w:lang w:val="ru-RU"/>
        </w:rPr>
        <w:t>№ 1911-П от 28.11.2023</w:t>
      </w:r>
    </w:p>
    <w:p w14:paraId="226C4550" w14:textId="77777777" w:rsidR="00CA391C" w:rsidRDefault="00852645" w:rsidP="00A9389D">
      <w:pPr>
        <w:jc w:val="right"/>
        <w:rPr>
          <w:rFonts w:ascii="UniCredit" w:hAnsi="UniCredit"/>
          <w:sz w:val="16"/>
          <w:szCs w:val="18"/>
          <w:lang w:val="ru-RU"/>
        </w:rPr>
      </w:pPr>
      <w:r>
        <w:rPr>
          <w:rFonts w:ascii="UniCredit" w:hAnsi="UniCredit"/>
          <w:sz w:val="16"/>
          <w:szCs w:val="18"/>
          <w:lang w:val="ru-RU"/>
        </w:rPr>
        <w:t xml:space="preserve">с изм. утв. Приказом по Банку </w:t>
      </w:r>
      <w:r w:rsidRPr="00852645">
        <w:rPr>
          <w:rFonts w:ascii="UniCredit" w:hAnsi="UniCredit"/>
          <w:sz w:val="16"/>
          <w:szCs w:val="18"/>
          <w:lang w:val="ru-RU"/>
        </w:rPr>
        <w:t>№ 184-П от 13.02.2024</w:t>
      </w:r>
    </w:p>
    <w:p w14:paraId="0748F61C" w14:textId="338876C7" w:rsidR="00D9495E" w:rsidRPr="00D9495E" w:rsidRDefault="00CA391C" w:rsidP="00A9389D">
      <w:pPr>
        <w:jc w:val="right"/>
        <w:rPr>
          <w:rFonts w:ascii="UniCredit" w:hAnsi="UniCredit"/>
          <w:sz w:val="16"/>
          <w:szCs w:val="18"/>
          <w:lang w:val="ru-RU"/>
        </w:rPr>
      </w:pPr>
      <w:r>
        <w:rPr>
          <w:rFonts w:ascii="UniCredit" w:hAnsi="UniCredit"/>
          <w:sz w:val="16"/>
          <w:szCs w:val="18"/>
          <w:lang w:val="ru-RU"/>
        </w:rPr>
        <w:t xml:space="preserve">с изм. утв. Приказом по Банку </w:t>
      </w:r>
      <w:r w:rsidRPr="00CA391C">
        <w:rPr>
          <w:rFonts w:ascii="UniCredit" w:hAnsi="UniCredit"/>
          <w:sz w:val="16"/>
          <w:szCs w:val="18"/>
          <w:lang w:val="ru-RU"/>
        </w:rPr>
        <w:t>№ 892-П от 27.06.2024</w:t>
      </w:r>
      <w:r w:rsidR="00D9495E">
        <w:rPr>
          <w:rFonts w:ascii="UniCredit" w:hAnsi="UniCredit"/>
          <w:sz w:val="16"/>
          <w:szCs w:val="18"/>
          <w:lang w:val="ru-RU"/>
        </w:rPr>
        <w:t xml:space="preserve"> </w:t>
      </w:r>
    </w:p>
    <w:p w14:paraId="0FA4F666" w14:textId="468D6804" w:rsidR="00904B5A" w:rsidRDefault="00904B5A" w:rsidP="00C71081">
      <w:pPr>
        <w:jc w:val="both"/>
        <w:rPr>
          <w:rFonts w:ascii="UniCredit" w:hAnsi="UniCredit"/>
          <w:sz w:val="16"/>
          <w:szCs w:val="18"/>
          <w:lang w:val="ru-RU"/>
        </w:rPr>
      </w:pPr>
    </w:p>
    <w:p w14:paraId="39DC4DCD" w14:textId="77777777" w:rsidR="00904B5A" w:rsidRPr="005000FF" w:rsidRDefault="00904B5A" w:rsidP="00C71081">
      <w:pPr>
        <w:jc w:val="both"/>
        <w:rPr>
          <w:rFonts w:ascii="UniCredit" w:hAnsi="UniCredit"/>
          <w:sz w:val="16"/>
          <w:szCs w:val="18"/>
          <w:lang w:val="ru-RU"/>
        </w:rPr>
      </w:pPr>
    </w:p>
    <w:p w14:paraId="52BD1E17" w14:textId="77777777" w:rsidR="005E23C6" w:rsidRPr="00AE6389" w:rsidRDefault="005E23C6">
      <w:pPr>
        <w:pStyle w:val="Title"/>
        <w:rPr>
          <w:rFonts w:ascii="UniCredit" w:hAnsi="UniCredit"/>
          <w:szCs w:val="22"/>
        </w:rPr>
      </w:pPr>
      <w:r w:rsidRPr="00AE6389">
        <w:rPr>
          <w:rFonts w:ascii="UniCredit" w:hAnsi="UniCredit"/>
          <w:szCs w:val="22"/>
        </w:rPr>
        <w:t>Процентные ста</w:t>
      </w:r>
      <w:r w:rsidR="00DA582C" w:rsidRPr="00AE6389">
        <w:rPr>
          <w:rFonts w:ascii="UniCredit" w:hAnsi="UniCredit"/>
          <w:szCs w:val="22"/>
        </w:rPr>
        <w:t xml:space="preserve">вки по счетам физических лиц в </w:t>
      </w:r>
      <w:r w:rsidRPr="00AE6389">
        <w:rPr>
          <w:rFonts w:ascii="UniCredit" w:hAnsi="UniCredit"/>
          <w:szCs w:val="22"/>
        </w:rPr>
        <w:t>АО ЮниКредит Банк</w:t>
      </w:r>
    </w:p>
    <w:p w14:paraId="3C382FCC" w14:textId="7D57923E" w:rsidR="005E23C6" w:rsidRPr="00AE6389" w:rsidRDefault="004B1A96">
      <w:pPr>
        <w:pStyle w:val="Title"/>
        <w:rPr>
          <w:rFonts w:ascii="UniCredit" w:hAnsi="UniCredit"/>
          <w:b w:val="0"/>
          <w:bCs/>
          <w:i/>
          <w:szCs w:val="22"/>
        </w:rPr>
      </w:pPr>
      <w:r w:rsidRPr="00AE6389">
        <w:rPr>
          <w:rFonts w:ascii="UniCredit" w:hAnsi="UniCredit"/>
          <w:b w:val="0"/>
          <w:bCs/>
          <w:i/>
          <w:szCs w:val="22"/>
        </w:rPr>
        <w:t xml:space="preserve"> </w:t>
      </w:r>
      <w:r w:rsidR="005E23C6" w:rsidRPr="00AE6389">
        <w:rPr>
          <w:rFonts w:ascii="UniCredit" w:hAnsi="UniCredit"/>
          <w:b w:val="0"/>
          <w:bCs/>
          <w:i/>
          <w:szCs w:val="22"/>
        </w:rPr>
        <w:t xml:space="preserve">(действуют с </w:t>
      </w:r>
      <w:r w:rsidR="00CA391C">
        <w:rPr>
          <w:rFonts w:ascii="UniCredit" w:hAnsi="UniCredit"/>
          <w:b w:val="0"/>
          <w:bCs/>
          <w:i/>
          <w:szCs w:val="22"/>
        </w:rPr>
        <w:t>01</w:t>
      </w:r>
      <w:r w:rsidR="00AF009A">
        <w:rPr>
          <w:rFonts w:ascii="UniCredit" w:hAnsi="UniCredit"/>
          <w:b w:val="0"/>
          <w:bCs/>
          <w:i/>
          <w:szCs w:val="22"/>
        </w:rPr>
        <w:t>.</w:t>
      </w:r>
      <w:r w:rsidR="00CA391C">
        <w:rPr>
          <w:rFonts w:ascii="UniCredit" w:hAnsi="UniCredit"/>
          <w:b w:val="0"/>
          <w:bCs/>
          <w:i/>
          <w:szCs w:val="22"/>
        </w:rPr>
        <w:t>07</w:t>
      </w:r>
      <w:r w:rsidR="00F138B3">
        <w:rPr>
          <w:rFonts w:ascii="UniCredit" w:hAnsi="UniCredit"/>
          <w:b w:val="0"/>
          <w:bCs/>
          <w:i/>
          <w:szCs w:val="22"/>
        </w:rPr>
        <w:t>.</w:t>
      </w:r>
      <w:r w:rsidR="00852645">
        <w:rPr>
          <w:rFonts w:ascii="UniCredit" w:hAnsi="UniCredit"/>
          <w:b w:val="0"/>
          <w:bCs/>
          <w:i/>
          <w:szCs w:val="22"/>
        </w:rPr>
        <w:t>2024</w:t>
      </w:r>
      <w:r w:rsidR="005E23C6" w:rsidRPr="00AE6389">
        <w:rPr>
          <w:rFonts w:ascii="UniCredit" w:hAnsi="UniCredit"/>
          <w:b w:val="0"/>
          <w:bCs/>
          <w:i/>
          <w:szCs w:val="22"/>
        </w:rPr>
        <w:t xml:space="preserve"> г.)</w:t>
      </w:r>
    </w:p>
    <w:p w14:paraId="291B3A5B" w14:textId="77777777" w:rsidR="0002414B" w:rsidRDefault="0002414B" w:rsidP="00A9389D">
      <w:pPr>
        <w:pStyle w:val="Heading5"/>
        <w:widowControl/>
        <w:tabs>
          <w:tab w:val="left" w:pos="180"/>
          <w:tab w:val="left" w:pos="540"/>
        </w:tabs>
        <w:jc w:val="both"/>
        <w:rPr>
          <w:rFonts w:ascii="UniCredit" w:hAnsi="UniCredit"/>
          <w:bCs/>
          <w:sz w:val="20"/>
          <w:szCs w:val="22"/>
          <w:lang w:val="ru-RU"/>
        </w:rPr>
      </w:pPr>
    </w:p>
    <w:p w14:paraId="149A6CBC" w14:textId="79D4E040" w:rsidR="0002414B" w:rsidRPr="00C71081" w:rsidRDefault="0002414B" w:rsidP="00A9389D">
      <w:pPr>
        <w:pStyle w:val="Heading5"/>
        <w:widowControl/>
        <w:numPr>
          <w:ilvl w:val="0"/>
          <w:numId w:val="43"/>
        </w:numPr>
        <w:tabs>
          <w:tab w:val="left" w:pos="180"/>
          <w:tab w:val="left" w:pos="540"/>
        </w:tabs>
        <w:jc w:val="both"/>
        <w:rPr>
          <w:rFonts w:ascii="UniCredit" w:hAnsi="UniCredit"/>
          <w:bCs/>
          <w:sz w:val="20"/>
          <w:szCs w:val="22"/>
          <w:lang w:val="ru-RU"/>
        </w:rPr>
      </w:pPr>
      <w:r>
        <w:rPr>
          <w:rFonts w:ascii="UniCredit" w:hAnsi="UniCredit"/>
          <w:bCs/>
          <w:sz w:val="20"/>
          <w:szCs w:val="22"/>
          <w:lang w:val="ru-RU"/>
        </w:rPr>
        <w:t>Счета</w:t>
      </w:r>
      <w:r w:rsidRPr="00D63BE4">
        <w:rPr>
          <w:rFonts w:ascii="UniCredit" w:hAnsi="UniCredit"/>
          <w:bCs/>
          <w:sz w:val="20"/>
          <w:szCs w:val="22"/>
          <w:lang w:val="ru-RU"/>
        </w:rPr>
        <w:t>, открыты</w:t>
      </w:r>
      <w:r>
        <w:rPr>
          <w:rFonts w:ascii="UniCredit" w:hAnsi="UniCredit"/>
          <w:bCs/>
          <w:sz w:val="20"/>
          <w:szCs w:val="22"/>
          <w:lang w:val="ru-RU"/>
        </w:rPr>
        <w:t>е для расчетов по операциям с использованием банковской карты Первая (ПС «Мир»), Моя (ПС «Мир»)</w:t>
      </w:r>
      <w:r w:rsidRPr="00D63BE4">
        <w:rPr>
          <w:rFonts w:ascii="UniCredit" w:hAnsi="UniCredit"/>
          <w:bCs/>
          <w:sz w:val="20"/>
          <w:szCs w:val="22"/>
          <w:lang w:val="ru-RU"/>
        </w:rPr>
        <w:t xml:space="preserve">  </w:t>
      </w:r>
    </w:p>
    <w:p w14:paraId="034A1A34" w14:textId="77777777" w:rsidR="0002414B" w:rsidRPr="00C71081" w:rsidRDefault="0002414B" w:rsidP="0002414B">
      <w:pPr>
        <w:rPr>
          <w:rFonts w:ascii="UniCredit" w:hAnsi="UniCredit"/>
          <w:sz w:val="12"/>
          <w:lang w:val="ru-RU"/>
        </w:rPr>
      </w:pPr>
    </w:p>
    <w:p w14:paraId="4CDBEF51" w14:textId="77777777" w:rsidR="0002414B" w:rsidRPr="00C71081" w:rsidRDefault="0002414B" w:rsidP="0002414B">
      <w:pPr>
        <w:rPr>
          <w:rFonts w:ascii="UniCredit" w:hAnsi="UniCredit"/>
          <w:bCs/>
          <w:color w:val="000000"/>
          <w:sz w:val="20"/>
          <w:szCs w:val="22"/>
          <w:lang w:val="ru-RU"/>
        </w:rPr>
      </w:pP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Ставки</w:t>
      </w:r>
      <w:r w:rsidRPr="00AF009A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на</w:t>
      </w:r>
      <w:r w:rsidRPr="00AF009A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кредитовый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остаток</w:t>
      </w:r>
      <w:r w:rsidRPr="00C71081">
        <w:rPr>
          <w:rFonts w:ascii="UniCredit" w:hAnsi="UniCredit"/>
          <w:bCs/>
          <w:color w:val="000000"/>
          <w:sz w:val="20"/>
          <w:szCs w:val="22"/>
          <w:lang w:val="ru-RU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3685"/>
        <w:gridCol w:w="2268"/>
        <w:gridCol w:w="1640"/>
      </w:tblGrid>
      <w:tr w:rsidR="0002414B" w:rsidRPr="00C71081" w14:paraId="7BEEAE78" w14:textId="77777777" w:rsidTr="00323A2E">
        <w:tc>
          <w:tcPr>
            <w:tcW w:w="2235" w:type="dxa"/>
          </w:tcPr>
          <w:p w14:paraId="2C78D9A2" w14:textId="77777777" w:rsidR="0002414B" w:rsidRPr="00C71081" w:rsidRDefault="0002414B" w:rsidP="00323A2E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Валюта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</w:rPr>
              <w:t xml:space="preserve"> 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счета</w:t>
            </w:r>
          </w:p>
          <w:p w14:paraId="3341F937" w14:textId="77777777" w:rsidR="0002414B" w:rsidRPr="00C71081" w:rsidRDefault="0002414B" w:rsidP="00323A2E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</w:p>
        </w:tc>
        <w:tc>
          <w:tcPr>
            <w:tcW w:w="3685" w:type="dxa"/>
          </w:tcPr>
          <w:p w14:paraId="050272E6" w14:textId="77777777" w:rsidR="0002414B" w:rsidRPr="00C71081" w:rsidRDefault="0002414B" w:rsidP="00323A2E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Сумма остатка на счете в разрезе интервалов*</w:t>
            </w:r>
          </w:p>
        </w:tc>
        <w:tc>
          <w:tcPr>
            <w:tcW w:w="2268" w:type="dxa"/>
          </w:tcPr>
          <w:p w14:paraId="49FE92B5" w14:textId="77777777" w:rsidR="0002414B" w:rsidRPr="00C71081" w:rsidRDefault="0002414B" w:rsidP="00323A2E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 xml:space="preserve">Процентная ставка </w:t>
            </w:r>
          </w:p>
          <w:p w14:paraId="464F0996" w14:textId="77777777" w:rsidR="0002414B" w:rsidRPr="00C71081" w:rsidRDefault="0002414B" w:rsidP="00323A2E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(% годовых)</w:t>
            </w:r>
          </w:p>
        </w:tc>
        <w:tc>
          <w:tcPr>
            <w:tcW w:w="1640" w:type="dxa"/>
          </w:tcPr>
          <w:p w14:paraId="612FA58B" w14:textId="77777777" w:rsidR="0002414B" w:rsidRPr="00C71081" w:rsidRDefault="0002414B" w:rsidP="00323A2E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Выплата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</w:rPr>
              <w:t xml:space="preserve"> 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процентов</w:t>
            </w:r>
          </w:p>
        </w:tc>
      </w:tr>
      <w:tr w:rsidR="0002414B" w:rsidRPr="00B14074" w14:paraId="196D6ABA" w14:textId="77777777" w:rsidTr="00A9389D">
        <w:trPr>
          <w:trHeight w:val="214"/>
        </w:trPr>
        <w:tc>
          <w:tcPr>
            <w:tcW w:w="2235" w:type="dxa"/>
            <w:vMerge w:val="restart"/>
            <w:vAlign w:val="center"/>
          </w:tcPr>
          <w:p w14:paraId="0EA81DCB" w14:textId="77777777" w:rsidR="0002414B" w:rsidRPr="00C71081" w:rsidRDefault="0002414B" w:rsidP="00323A2E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Рубли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РФ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628BB34F" w14:textId="553726ED" w:rsidR="0002414B" w:rsidRPr="00C71081" w:rsidRDefault="0002414B" w:rsidP="00323A2E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от 0 до </w:t>
            </w:r>
            <w:r w:rsidR="00023F14">
              <w:rPr>
                <w:rFonts w:ascii="UniCredit" w:hAnsi="UniCredit"/>
                <w:sz w:val="18"/>
                <w:szCs w:val="20"/>
                <w:lang w:val="ru-RU"/>
              </w:rPr>
              <w:t xml:space="preserve">100 000 </w:t>
            </w:r>
          </w:p>
        </w:tc>
        <w:tc>
          <w:tcPr>
            <w:tcW w:w="2268" w:type="dxa"/>
            <w:vAlign w:val="center"/>
          </w:tcPr>
          <w:p w14:paraId="246AD13E" w14:textId="1AE0F2FA" w:rsidR="0002414B" w:rsidRPr="00C71081" w:rsidRDefault="00023F14" w:rsidP="00323A2E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7</w:t>
            </w:r>
            <w:r w:rsidR="0002414B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 w:val="restart"/>
            <w:vAlign w:val="center"/>
          </w:tcPr>
          <w:p w14:paraId="30E9EE72" w14:textId="35D6D30C" w:rsidR="0002414B" w:rsidRPr="00C71081" w:rsidRDefault="00C305D7" w:rsidP="008250B6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е</w:t>
            </w:r>
            <w:r w:rsidR="0002414B" w:rsidRPr="00C032E8">
              <w:rPr>
                <w:rFonts w:ascii="UniCredit" w:hAnsi="UniCredit"/>
                <w:sz w:val="18"/>
                <w:szCs w:val="20"/>
                <w:lang w:val="ru-RU"/>
              </w:rPr>
              <w:t xml:space="preserve">жемесячно в последний </w:t>
            </w:r>
            <w:r w:rsidR="00371D2D" w:rsidRPr="005000FF">
              <w:rPr>
                <w:rFonts w:ascii="UniCredit" w:hAnsi="UniCredit"/>
                <w:sz w:val="18"/>
                <w:szCs w:val="20"/>
                <w:lang w:val="ru-RU"/>
              </w:rPr>
              <w:t xml:space="preserve">рабочий </w:t>
            </w:r>
            <w:r w:rsidR="0002414B" w:rsidRPr="005000FF">
              <w:rPr>
                <w:rFonts w:ascii="UniCredit" w:hAnsi="UniCredit"/>
                <w:sz w:val="18"/>
                <w:szCs w:val="20"/>
                <w:lang w:val="ru-RU"/>
              </w:rPr>
              <w:t>день месяца</w:t>
            </w:r>
            <w:r w:rsidR="0002414B">
              <w:rPr>
                <w:rFonts w:ascii="UniCredit" w:hAnsi="UniCredit"/>
                <w:sz w:val="18"/>
                <w:szCs w:val="20"/>
                <w:lang w:val="ru-RU"/>
              </w:rPr>
              <w:t xml:space="preserve"> </w:t>
            </w:r>
          </w:p>
        </w:tc>
      </w:tr>
      <w:tr w:rsidR="0002414B" w:rsidRPr="00C71081" w14:paraId="3655825A" w14:textId="77777777" w:rsidTr="00A9389D">
        <w:trPr>
          <w:trHeight w:val="258"/>
        </w:trPr>
        <w:tc>
          <w:tcPr>
            <w:tcW w:w="2235" w:type="dxa"/>
            <w:vMerge/>
            <w:vAlign w:val="center"/>
          </w:tcPr>
          <w:p w14:paraId="15A416D9" w14:textId="77777777" w:rsidR="0002414B" w:rsidRPr="00C71081" w:rsidRDefault="0002414B" w:rsidP="00323A2E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530D3BED" w14:textId="34D5AC15" w:rsidR="0002414B" w:rsidRPr="00C71081" w:rsidRDefault="00023F14" w:rsidP="00323A2E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от 10</w:t>
            </w:r>
            <w:r w:rsidR="0002414B">
              <w:rPr>
                <w:rFonts w:ascii="UniCredit" w:hAnsi="UniCredit"/>
                <w:sz w:val="18"/>
                <w:szCs w:val="20"/>
                <w:lang w:val="ru-RU"/>
              </w:rPr>
              <w:t>0 000 и выше</w:t>
            </w:r>
          </w:p>
        </w:tc>
        <w:tc>
          <w:tcPr>
            <w:tcW w:w="2268" w:type="dxa"/>
            <w:vAlign w:val="center"/>
          </w:tcPr>
          <w:p w14:paraId="3DC0DCAC" w14:textId="77777777" w:rsidR="0002414B" w:rsidRPr="00C71081" w:rsidRDefault="0002414B" w:rsidP="00323A2E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0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2ADE89B4" w14:textId="77777777" w:rsidR="0002414B" w:rsidRPr="00C71081" w:rsidRDefault="0002414B" w:rsidP="00323A2E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</w:tbl>
    <w:p w14:paraId="097686DF" w14:textId="77777777" w:rsidR="0002414B" w:rsidRPr="00C71081" w:rsidRDefault="0002414B" w:rsidP="0002414B">
      <w:pPr>
        <w:jc w:val="center"/>
        <w:rPr>
          <w:rFonts w:ascii="UniCredit" w:hAnsi="UniCredit"/>
          <w:sz w:val="10"/>
          <w:szCs w:val="12"/>
          <w:lang w:val="ru-RU"/>
        </w:rPr>
      </w:pPr>
    </w:p>
    <w:p w14:paraId="2320DA20" w14:textId="77777777" w:rsidR="0002414B" w:rsidRPr="00C71081" w:rsidRDefault="0002414B" w:rsidP="0002414B">
      <w:pPr>
        <w:jc w:val="both"/>
        <w:rPr>
          <w:rFonts w:ascii="UniCredit" w:hAnsi="UniCredit"/>
          <w:i/>
          <w:sz w:val="16"/>
          <w:szCs w:val="18"/>
          <w:lang w:val="ru-RU"/>
        </w:rPr>
      </w:pPr>
      <w:r w:rsidRPr="00C71081">
        <w:rPr>
          <w:rFonts w:ascii="UniCredit" w:hAnsi="UniCredit"/>
          <w:i/>
          <w:sz w:val="16"/>
          <w:szCs w:val="18"/>
          <w:lang w:val="ru-RU"/>
        </w:rPr>
        <w:t xml:space="preserve">* Остаток на счете для целей начисления процентов делится на интервалы, к каждому из которых применяется своя процентная ставка. При указании диапазонов: «от» - включает нижнюю границу интервала, «до» - не включает верхнюю границу интервала. </w:t>
      </w:r>
    </w:p>
    <w:p w14:paraId="536C3705" w14:textId="77777777" w:rsidR="00DD00F2" w:rsidRPr="00C71081" w:rsidRDefault="00DD00F2" w:rsidP="00DD00F2">
      <w:pPr>
        <w:pStyle w:val="Heading5"/>
        <w:widowControl/>
        <w:jc w:val="both"/>
        <w:rPr>
          <w:rFonts w:ascii="UniCredit" w:hAnsi="UniCredit"/>
          <w:b w:val="0"/>
          <w:sz w:val="10"/>
          <w:szCs w:val="10"/>
          <w:lang w:val="en-US"/>
        </w:rPr>
      </w:pPr>
    </w:p>
    <w:p w14:paraId="6B9BCBA8" w14:textId="77777777" w:rsidR="007F6BAA" w:rsidRPr="00C71081" w:rsidRDefault="007F6BAA" w:rsidP="00A9389D">
      <w:pPr>
        <w:pStyle w:val="Heading5"/>
        <w:widowControl/>
        <w:numPr>
          <w:ilvl w:val="0"/>
          <w:numId w:val="43"/>
        </w:numPr>
        <w:tabs>
          <w:tab w:val="left" w:pos="180"/>
          <w:tab w:val="left" w:pos="540"/>
        </w:tabs>
        <w:jc w:val="both"/>
        <w:rPr>
          <w:rFonts w:ascii="UniCredit" w:hAnsi="UniCredit"/>
          <w:bCs/>
          <w:sz w:val="20"/>
          <w:szCs w:val="22"/>
          <w:lang w:val="ru-RU"/>
        </w:rPr>
      </w:pPr>
      <w:r w:rsidRPr="00C71081">
        <w:rPr>
          <w:rFonts w:ascii="UniCredit" w:hAnsi="UniCredit"/>
          <w:bCs/>
          <w:sz w:val="20"/>
          <w:szCs w:val="22"/>
          <w:lang w:val="ru-RU"/>
        </w:rPr>
        <w:t>Текущие счета «Клик»</w:t>
      </w:r>
      <w:r w:rsidR="0078437C" w:rsidRPr="00C71081">
        <w:rPr>
          <w:rFonts w:ascii="UniCredit" w:hAnsi="UniCredit"/>
          <w:bCs/>
          <w:sz w:val="20"/>
          <w:szCs w:val="22"/>
          <w:lang w:val="ru-RU"/>
        </w:rPr>
        <w:t>, за исключением указанных в Разделе 3</w:t>
      </w:r>
    </w:p>
    <w:p w14:paraId="52E0CEF0" w14:textId="77777777" w:rsidR="007F6BAA" w:rsidRPr="00C71081" w:rsidRDefault="007F6BAA" w:rsidP="007F6BAA">
      <w:pPr>
        <w:rPr>
          <w:rFonts w:ascii="UniCredit" w:hAnsi="UniCredit"/>
          <w:sz w:val="10"/>
          <w:szCs w:val="10"/>
          <w:lang w:val="ru-RU"/>
        </w:rPr>
      </w:pPr>
    </w:p>
    <w:p w14:paraId="156F9E0A" w14:textId="77777777" w:rsidR="007F6BAA" w:rsidRPr="00C71081" w:rsidRDefault="007F6BAA" w:rsidP="007F6BAA">
      <w:pPr>
        <w:rPr>
          <w:rFonts w:ascii="UniCredit" w:hAnsi="UniCredit"/>
          <w:bCs/>
          <w:color w:val="000000"/>
          <w:sz w:val="20"/>
          <w:szCs w:val="22"/>
          <w:lang w:val="ru-RU"/>
        </w:rPr>
      </w:pP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Ставки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на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кредитовый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остаток</w:t>
      </w:r>
      <w:r w:rsidRPr="00C71081">
        <w:rPr>
          <w:rFonts w:ascii="UniCredit" w:hAnsi="UniCredit"/>
          <w:bCs/>
          <w:color w:val="000000"/>
          <w:sz w:val="20"/>
          <w:szCs w:val="22"/>
          <w:lang w:val="ru-RU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3685"/>
        <w:gridCol w:w="2268"/>
        <w:gridCol w:w="1640"/>
      </w:tblGrid>
      <w:tr w:rsidR="007F6BAA" w:rsidRPr="00C71081" w14:paraId="0A6EB274" w14:textId="77777777" w:rsidTr="0004536D">
        <w:tc>
          <w:tcPr>
            <w:tcW w:w="2235" w:type="dxa"/>
          </w:tcPr>
          <w:p w14:paraId="760E98BB" w14:textId="77777777" w:rsidR="007F6BAA" w:rsidRPr="00C71081" w:rsidRDefault="007F6BAA" w:rsidP="0004536D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Валюта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</w:rPr>
              <w:t xml:space="preserve"> 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счета</w:t>
            </w:r>
          </w:p>
          <w:p w14:paraId="2906397E" w14:textId="77777777" w:rsidR="007F6BAA" w:rsidRPr="00C71081" w:rsidRDefault="007F6BAA" w:rsidP="0004536D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</w:p>
        </w:tc>
        <w:tc>
          <w:tcPr>
            <w:tcW w:w="3685" w:type="dxa"/>
          </w:tcPr>
          <w:p w14:paraId="6ED85E7A" w14:textId="77777777" w:rsidR="007F6BAA" w:rsidRPr="00C71081" w:rsidRDefault="00093725" w:rsidP="00093725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Сумма остатка на счете</w:t>
            </w:r>
            <w:r w:rsidR="007A0408"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 xml:space="preserve"> в разрезе интервалов</w:t>
            </w:r>
            <w:r w:rsidR="007F6BAA"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*</w:t>
            </w:r>
          </w:p>
        </w:tc>
        <w:tc>
          <w:tcPr>
            <w:tcW w:w="2268" w:type="dxa"/>
          </w:tcPr>
          <w:p w14:paraId="7DAD6800" w14:textId="77777777" w:rsidR="007F6BAA" w:rsidRPr="00C71081" w:rsidRDefault="007F6BAA" w:rsidP="0004536D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 xml:space="preserve">Процентная ставка </w:t>
            </w:r>
          </w:p>
          <w:p w14:paraId="007BC79B" w14:textId="77777777" w:rsidR="007F6BAA" w:rsidRPr="00C71081" w:rsidRDefault="007F6BAA" w:rsidP="0004536D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(% годовых)</w:t>
            </w:r>
          </w:p>
        </w:tc>
        <w:tc>
          <w:tcPr>
            <w:tcW w:w="1640" w:type="dxa"/>
          </w:tcPr>
          <w:p w14:paraId="27A545AC" w14:textId="77777777" w:rsidR="007F6BAA" w:rsidRPr="00C71081" w:rsidRDefault="007F6BAA" w:rsidP="0004536D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Выплата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</w:rPr>
              <w:t xml:space="preserve"> 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процентов</w:t>
            </w:r>
          </w:p>
        </w:tc>
      </w:tr>
      <w:tr w:rsidR="007A0408" w:rsidRPr="00C71081" w14:paraId="69C4ECA2" w14:textId="77777777" w:rsidTr="00A9389D">
        <w:trPr>
          <w:trHeight w:val="289"/>
        </w:trPr>
        <w:tc>
          <w:tcPr>
            <w:tcW w:w="2235" w:type="dxa"/>
            <w:vMerge w:val="restart"/>
            <w:vAlign w:val="center"/>
          </w:tcPr>
          <w:p w14:paraId="53C0B863" w14:textId="77777777" w:rsidR="007A0408" w:rsidRPr="00C71081" w:rsidRDefault="007A0408" w:rsidP="0004536D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Рубли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РФ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236E7E8D" w14:textId="77777777" w:rsidR="007A0408" w:rsidRPr="00C71081" w:rsidRDefault="0040459D" w:rsidP="007A0408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от 0 до 1</w:t>
            </w:r>
            <w:r w:rsidR="007A0408"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 000</w:t>
            </w:r>
          </w:p>
        </w:tc>
        <w:tc>
          <w:tcPr>
            <w:tcW w:w="2268" w:type="dxa"/>
            <w:vAlign w:val="center"/>
          </w:tcPr>
          <w:p w14:paraId="60F9BB71" w14:textId="77777777" w:rsidR="007A0408" w:rsidRPr="00C71081" w:rsidRDefault="0040459D" w:rsidP="007A0408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0</w:t>
            </w:r>
            <w:r w:rsidR="007A0408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 w:val="restart"/>
            <w:vAlign w:val="center"/>
          </w:tcPr>
          <w:p w14:paraId="6798BE2F" w14:textId="77777777" w:rsidR="007A0408" w:rsidRPr="00C71081" w:rsidRDefault="007A0408" w:rsidP="007F6BAA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ежедневно</w:t>
            </w:r>
          </w:p>
        </w:tc>
      </w:tr>
      <w:tr w:rsidR="0040459D" w:rsidRPr="00C71081" w14:paraId="7B69617C" w14:textId="77777777" w:rsidTr="007A0408">
        <w:trPr>
          <w:trHeight w:val="268"/>
        </w:trPr>
        <w:tc>
          <w:tcPr>
            <w:tcW w:w="2235" w:type="dxa"/>
            <w:vMerge/>
            <w:vAlign w:val="center"/>
          </w:tcPr>
          <w:p w14:paraId="42B701B5" w14:textId="77777777" w:rsidR="0040459D" w:rsidRPr="00C71081" w:rsidRDefault="0040459D" w:rsidP="0004536D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01C94417" w14:textId="77777777" w:rsidR="0040459D" w:rsidRPr="00C71081" w:rsidRDefault="0040459D" w:rsidP="00383DF4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от 1 000 до </w:t>
            </w:r>
            <w:r w:rsidR="00383DF4">
              <w:rPr>
                <w:rFonts w:ascii="UniCredit" w:hAnsi="UniCredit"/>
                <w:sz w:val="18"/>
                <w:szCs w:val="20"/>
                <w:lang w:val="ru-RU"/>
              </w:rPr>
              <w:t>750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 000</w:t>
            </w:r>
          </w:p>
        </w:tc>
        <w:tc>
          <w:tcPr>
            <w:tcW w:w="2268" w:type="dxa"/>
            <w:vAlign w:val="center"/>
          </w:tcPr>
          <w:p w14:paraId="2145D6D6" w14:textId="568DAC21" w:rsidR="0040459D" w:rsidRPr="00C71081" w:rsidRDefault="00EB4892" w:rsidP="00FD45ED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7</w:t>
            </w:r>
            <w:r w:rsidR="0040459D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0F4F973B" w14:textId="77777777" w:rsidR="0040459D" w:rsidRPr="00C71081" w:rsidRDefault="0040459D" w:rsidP="007F6BAA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  <w:tr w:rsidR="004666C8" w:rsidRPr="00C71081" w14:paraId="45DF4E6F" w14:textId="77777777" w:rsidTr="007A0408">
        <w:trPr>
          <w:trHeight w:val="258"/>
        </w:trPr>
        <w:tc>
          <w:tcPr>
            <w:tcW w:w="2235" w:type="dxa"/>
            <w:vMerge/>
            <w:vAlign w:val="center"/>
          </w:tcPr>
          <w:p w14:paraId="14CDD4F3" w14:textId="77777777" w:rsidR="004666C8" w:rsidRPr="00C71081" w:rsidRDefault="004666C8" w:rsidP="0004536D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376F2E58" w14:textId="77777777" w:rsidR="004666C8" w:rsidRPr="00C71081" w:rsidRDefault="00383DF4" w:rsidP="000E5F5C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oт 750 000 до 1 5</w:t>
            </w:r>
            <w:r w:rsidR="004666C8" w:rsidRPr="00C71081">
              <w:rPr>
                <w:rFonts w:ascii="UniCredit" w:hAnsi="UniCredit"/>
                <w:sz w:val="18"/>
                <w:szCs w:val="20"/>
                <w:lang w:val="ru-RU"/>
              </w:rPr>
              <w:t>00 000</w:t>
            </w:r>
          </w:p>
        </w:tc>
        <w:tc>
          <w:tcPr>
            <w:tcW w:w="2268" w:type="dxa"/>
            <w:vAlign w:val="center"/>
          </w:tcPr>
          <w:p w14:paraId="3F51A50F" w14:textId="5A5B2438" w:rsidR="004666C8" w:rsidRPr="00C71081" w:rsidRDefault="00CA391C" w:rsidP="00AD5A14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10</w:t>
            </w:r>
            <w:r w:rsidR="004666C8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3A36080B" w14:textId="77777777" w:rsidR="004666C8" w:rsidRPr="00C71081" w:rsidRDefault="004666C8" w:rsidP="0004536D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  <w:tr w:rsidR="004666C8" w:rsidRPr="00C71081" w14:paraId="2779A4D7" w14:textId="77777777" w:rsidTr="007A0408">
        <w:trPr>
          <w:trHeight w:val="275"/>
        </w:trPr>
        <w:tc>
          <w:tcPr>
            <w:tcW w:w="2235" w:type="dxa"/>
            <w:vMerge/>
            <w:vAlign w:val="center"/>
          </w:tcPr>
          <w:p w14:paraId="22D0DA42" w14:textId="77777777" w:rsidR="004666C8" w:rsidRPr="00C71081" w:rsidRDefault="004666C8" w:rsidP="0004536D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4151D8F6" w14:textId="77777777" w:rsidR="004666C8" w:rsidRPr="00C71081" w:rsidRDefault="004666C8" w:rsidP="00AD5A14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</w:rPr>
              <w:t>o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т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  <w:r w:rsidR="00383DF4">
              <w:rPr>
                <w:rFonts w:ascii="UniCredit" w:hAnsi="UniCredit"/>
                <w:sz w:val="18"/>
                <w:szCs w:val="20"/>
                <w:lang w:val="ru-RU"/>
              </w:rPr>
              <w:t>1</w:t>
            </w:r>
            <w:r w:rsidR="00383DF4">
              <w:rPr>
                <w:rFonts w:ascii="UniCredit" w:hAnsi="UniCredit"/>
                <w:sz w:val="18"/>
                <w:szCs w:val="20"/>
              </w:rPr>
              <w:t xml:space="preserve"> 5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00 000 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и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выше</w:t>
            </w:r>
          </w:p>
        </w:tc>
        <w:tc>
          <w:tcPr>
            <w:tcW w:w="2268" w:type="dxa"/>
            <w:vAlign w:val="center"/>
          </w:tcPr>
          <w:p w14:paraId="7BFD3E0A" w14:textId="77777777" w:rsidR="004666C8" w:rsidRPr="00C71081" w:rsidRDefault="004666C8" w:rsidP="00AD5A14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0%</w:t>
            </w:r>
          </w:p>
        </w:tc>
        <w:tc>
          <w:tcPr>
            <w:tcW w:w="1640" w:type="dxa"/>
            <w:vMerge/>
            <w:vAlign w:val="center"/>
          </w:tcPr>
          <w:p w14:paraId="3D41FC52" w14:textId="77777777" w:rsidR="004666C8" w:rsidRPr="00C71081" w:rsidRDefault="004666C8" w:rsidP="0004536D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</w:tbl>
    <w:p w14:paraId="00B597CA" w14:textId="77777777" w:rsidR="004666C8" w:rsidRPr="00C71081" w:rsidRDefault="004666C8" w:rsidP="004666C8">
      <w:pPr>
        <w:jc w:val="both"/>
        <w:rPr>
          <w:rFonts w:ascii="UniCredit" w:hAnsi="UniCredit"/>
          <w:sz w:val="10"/>
          <w:szCs w:val="10"/>
          <w:lang w:val="ru-RU"/>
        </w:rPr>
      </w:pPr>
    </w:p>
    <w:p w14:paraId="518CBF07" w14:textId="77777777" w:rsidR="00F97A2D" w:rsidRPr="00C71081" w:rsidRDefault="007A0408" w:rsidP="007A0408">
      <w:pPr>
        <w:rPr>
          <w:rFonts w:ascii="UniCredit" w:hAnsi="UniCredit"/>
          <w:sz w:val="20"/>
          <w:szCs w:val="22"/>
          <w:lang w:val="ru-RU"/>
        </w:rPr>
      </w:pPr>
      <w:r w:rsidRPr="00C71081">
        <w:rPr>
          <w:rFonts w:ascii="UniCredit" w:hAnsi="UniCredit"/>
          <w:sz w:val="20"/>
          <w:szCs w:val="22"/>
          <w:lang w:val="ru-RU"/>
        </w:rPr>
        <w:t>Начисление процентов на текущие счета «Клик»</w:t>
      </w:r>
      <w:r w:rsidR="0078437C" w:rsidRPr="00C71081">
        <w:rPr>
          <w:rFonts w:ascii="UniCredit" w:hAnsi="UniCredit"/>
          <w:sz w:val="20"/>
          <w:szCs w:val="22"/>
          <w:lang w:val="ru-RU"/>
        </w:rPr>
        <w:t xml:space="preserve"> </w:t>
      </w:r>
      <w:r w:rsidRPr="00C71081">
        <w:rPr>
          <w:rFonts w:ascii="UniCredit" w:hAnsi="UniCredit"/>
          <w:sz w:val="20"/>
          <w:szCs w:val="22"/>
          <w:lang w:val="ru-RU"/>
        </w:rPr>
        <w:t>в других валютах не производится.</w:t>
      </w:r>
    </w:p>
    <w:p w14:paraId="1F89548D" w14:textId="77777777" w:rsidR="00F97A2D" w:rsidRPr="00AE6389" w:rsidRDefault="00F97A2D" w:rsidP="00F97A2D">
      <w:pPr>
        <w:jc w:val="center"/>
        <w:rPr>
          <w:rFonts w:ascii="UniCredit" w:hAnsi="UniCredit"/>
          <w:sz w:val="12"/>
          <w:szCs w:val="12"/>
          <w:lang w:val="ru-RU"/>
        </w:rPr>
      </w:pPr>
    </w:p>
    <w:p w14:paraId="727D5E77" w14:textId="77777777" w:rsidR="007F6BAA" w:rsidRPr="00C71081" w:rsidRDefault="007F6BAA" w:rsidP="007A0408">
      <w:pPr>
        <w:jc w:val="both"/>
        <w:rPr>
          <w:rFonts w:ascii="UniCredit" w:hAnsi="UniCredit"/>
          <w:i/>
          <w:sz w:val="16"/>
          <w:szCs w:val="18"/>
          <w:lang w:val="ru-RU"/>
        </w:rPr>
      </w:pPr>
      <w:r w:rsidRPr="00C71081">
        <w:rPr>
          <w:rFonts w:ascii="UniCredit" w:hAnsi="UniCredit"/>
          <w:i/>
          <w:sz w:val="16"/>
          <w:szCs w:val="18"/>
          <w:lang w:val="ru-RU"/>
        </w:rPr>
        <w:t xml:space="preserve">* </w:t>
      </w:r>
      <w:r w:rsidR="007A0408" w:rsidRPr="00C71081">
        <w:rPr>
          <w:rFonts w:ascii="UniCredit" w:hAnsi="UniCredit"/>
          <w:i/>
          <w:sz w:val="16"/>
          <w:szCs w:val="18"/>
          <w:lang w:val="ru-RU"/>
        </w:rPr>
        <w:t>Остаток на счете для целей начисления процентов делится на интервалы, к каждому из которых применяется своя процентная ставка. При указании диапазонов: «от» - включает нижнюю границу интервала, «до» - не включает верхнюю границу интервала</w:t>
      </w:r>
      <w:r w:rsidRPr="00C71081">
        <w:rPr>
          <w:rFonts w:ascii="UniCredit" w:hAnsi="UniCredit"/>
          <w:i/>
          <w:sz w:val="16"/>
          <w:szCs w:val="18"/>
          <w:lang w:val="ru-RU"/>
        </w:rPr>
        <w:t xml:space="preserve">. </w:t>
      </w:r>
    </w:p>
    <w:p w14:paraId="4E9DF2BE" w14:textId="77777777" w:rsidR="00BB2E6A" w:rsidRDefault="00BB2E6A" w:rsidP="007A0408">
      <w:pPr>
        <w:jc w:val="both"/>
        <w:rPr>
          <w:rFonts w:ascii="UniCredit" w:hAnsi="UniCredit"/>
          <w:i/>
          <w:sz w:val="18"/>
          <w:szCs w:val="18"/>
          <w:lang w:val="ru-RU"/>
        </w:rPr>
      </w:pPr>
    </w:p>
    <w:p w14:paraId="1C763213" w14:textId="00A7CFC8" w:rsidR="007B0E1E" w:rsidRPr="00C71081" w:rsidRDefault="00D63BE4" w:rsidP="00A9389D">
      <w:pPr>
        <w:pStyle w:val="Heading5"/>
        <w:widowControl/>
        <w:numPr>
          <w:ilvl w:val="0"/>
          <w:numId w:val="43"/>
        </w:numPr>
        <w:tabs>
          <w:tab w:val="left" w:pos="180"/>
          <w:tab w:val="left" w:pos="540"/>
        </w:tabs>
        <w:jc w:val="both"/>
        <w:rPr>
          <w:rFonts w:ascii="UniCredit" w:hAnsi="UniCredit"/>
          <w:bCs/>
          <w:sz w:val="20"/>
          <w:szCs w:val="22"/>
          <w:lang w:val="ru-RU"/>
        </w:rPr>
      </w:pPr>
      <w:r w:rsidRPr="00D63BE4">
        <w:rPr>
          <w:rFonts w:ascii="UniCredit" w:hAnsi="UniCredit"/>
          <w:bCs/>
          <w:sz w:val="20"/>
          <w:szCs w:val="22"/>
          <w:lang w:val="ru-RU"/>
        </w:rPr>
        <w:t xml:space="preserve">Текущие счета «Клик», открытые на имя держателей активированных и незаблокированных основных дебетовых карт World MasterCard Black Edition и/или Prime MasterCard Black Edition и/или Prime Visa Signature и/или Visa Platinum+ и/или World Elite MasterCard и/или Mir Supreme Private Banking и/или Prime (ПС «Мир») и/или Extra (ПС </w:t>
      </w:r>
      <w:r w:rsidR="00BB4FCF">
        <w:rPr>
          <w:rFonts w:ascii="UniCredit" w:hAnsi="UniCredit"/>
          <w:bCs/>
          <w:sz w:val="20"/>
          <w:szCs w:val="22"/>
          <w:lang w:val="ru-RU"/>
        </w:rPr>
        <w:t>«</w:t>
      </w:r>
      <w:r w:rsidRPr="00D63BE4">
        <w:rPr>
          <w:rFonts w:ascii="UniCredit" w:hAnsi="UniCredit"/>
          <w:bCs/>
          <w:sz w:val="20"/>
          <w:szCs w:val="22"/>
          <w:lang w:val="ru-RU"/>
        </w:rPr>
        <w:t>М</w:t>
      </w:r>
      <w:r w:rsidR="00BB4FCF">
        <w:rPr>
          <w:rFonts w:ascii="UniCredit" w:hAnsi="UniCredit"/>
          <w:bCs/>
          <w:sz w:val="20"/>
          <w:szCs w:val="22"/>
          <w:lang w:val="ru-RU"/>
        </w:rPr>
        <w:t>ир</w:t>
      </w:r>
      <w:r w:rsidRPr="00D63BE4">
        <w:rPr>
          <w:rFonts w:ascii="UniCredit" w:hAnsi="UniCredit"/>
          <w:bCs/>
          <w:sz w:val="20"/>
          <w:szCs w:val="22"/>
          <w:lang w:val="ru-RU"/>
        </w:rPr>
        <w:t xml:space="preserve">») в российских рублях (далее «Карта»)  </w:t>
      </w:r>
    </w:p>
    <w:p w14:paraId="7D6BCE94" w14:textId="77777777" w:rsidR="007B0E1E" w:rsidRPr="00C71081" w:rsidRDefault="007B0E1E" w:rsidP="007B0E1E">
      <w:pPr>
        <w:rPr>
          <w:rFonts w:ascii="UniCredit" w:hAnsi="UniCredit"/>
          <w:sz w:val="12"/>
          <w:lang w:val="ru-RU"/>
        </w:rPr>
      </w:pPr>
    </w:p>
    <w:p w14:paraId="2BE0EF24" w14:textId="77777777" w:rsidR="007B0E1E" w:rsidRPr="00C71081" w:rsidRDefault="007B0E1E" w:rsidP="007B0E1E">
      <w:pPr>
        <w:rPr>
          <w:rFonts w:ascii="UniCredit" w:hAnsi="UniCredit"/>
          <w:bCs/>
          <w:color w:val="000000"/>
          <w:sz w:val="20"/>
          <w:szCs w:val="22"/>
          <w:lang w:val="ru-RU"/>
        </w:rPr>
      </w:pP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Ставки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на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кредитовый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</w:rPr>
        <w:t xml:space="preserve"> </w:t>
      </w:r>
      <w:r w:rsidRPr="00C71081">
        <w:rPr>
          <w:rFonts w:ascii="UniCredit" w:hAnsi="UniCredit"/>
          <w:bCs/>
          <w:color w:val="000000"/>
          <w:sz w:val="20"/>
          <w:szCs w:val="22"/>
          <w:u w:val="single"/>
          <w:lang w:val="ru-RU"/>
        </w:rPr>
        <w:t>остаток</w:t>
      </w:r>
      <w:r w:rsidRPr="00C71081">
        <w:rPr>
          <w:rFonts w:ascii="UniCredit" w:hAnsi="UniCredit"/>
          <w:bCs/>
          <w:color w:val="000000"/>
          <w:sz w:val="20"/>
          <w:szCs w:val="22"/>
          <w:lang w:val="ru-RU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3685"/>
        <w:gridCol w:w="2268"/>
        <w:gridCol w:w="1640"/>
      </w:tblGrid>
      <w:tr w:rsidR="007B0E1E" w:rsidRPr="00C71081" w14:paraId="12FA507D" w14:textId="77777777" w:rsidTr="008B73EF">
        <w:tc>
          <w:tcPr>
            <w:tcW w:w="2235" w:type="dxa"/>
          </w:tcPr>
          <w:p w14:paraId="6F42F6CA" w14:textId="77777777" w:rsidR="007B0E1E" w:rsidRPr="00C71081" w:rsidRDefault="007B0E1E" w:rsidP="008B73EF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Валюта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</w:rPr>
              <w:t xml:space="preserve"> 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счета</w:t>
            </w:r>
          </w:p>
          <w:p w14:paraId="7702A4DB" w14:textId="77777777" w:rsidR="007B0E1E" w:rsidRPr="00C71081" w:rsidRDefault="007B0E1E" w:rsidP="008B73EF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</w:p>
        </w:tc>
        <w:tc>
          <w:tcPr>
            <w:tcW w:w="3685" w:type="dxa"/>
          </w:tcPr>
          <w:p w14:paraId="3B7B60F7" w14:textId="77777777" w:rsidR="007B0E1E" w:rsidRPr="00C71081" w:rsidRDefault="007B0E1E" w:rsidP="008B73EF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Сумма остатка на счете в разрезе интервалов*</w:t>
            </w:r>
          </w:p>
        </w:tc>
        <w:tc>
          <w:tcPr>
            <w:tcW w:w="2268" w:type="dxa"/>
          </w:tcPr>
          <w:p w14:paraId="0743C3DE" w14:textId="77777777" w:rsidR="007B0E1E" w:rsidRPr="00C71081" w:rsidRDefault="007B0E1E" w:rsidP="008B73EF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 xml:space="preserve">Процентная ставка </w:t>
            </w:r>
          </w:p>
          <w:p w14:paraId="4DBDD0D9" w14:textId="77777777" w:rsidR="007B0E1E" w:rsidRPr="00C71081" w:rsidRDefault="007B0E1E" w:rsidP="008B73EF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(% годовых)</w:t>
            </w:r>
          </w:p>
        </w:tc>
        <w:tc>
          <w:tcPr>
            <w:tcW w:w="1640" w:type="dxa"/>
          </w:tcPr>
          <w:p w14:paraId="0601ED54" w14:textId="77777777" w:rsidR="007B0E1E" w:rsidRPr="00C71081" w:rsidRDefault="007B0E1E" w:rsidP="008B73EF">
            <w:pPr>
              <w:jc w:val="center"/>
              <w:rPr>
                <w:rFonts w:ascii="UniCredit" w:hAnsi="UniCredit"/>
                <w:b/>
                <w:bCs/>
                <w:sz w:val="18"/>
                <w:szCs w:val="22"/>
              </w:rPr>
            </w:pP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Выплата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</w:rPr>
              <w:t xml:space="preserve"> </w:t>
            </w:r>
            <w:r w:rsidRPr="00C71081">
              <w:rPr>
                <w:rFonts w:ascii="UniCredit" w:hAnsi="UniCredit"/>
                <w:b/>
                <w:bCs/>
                <w:sz w:val="18"/>
                <w:szCs w:val="22"/>
                <w:lang w:val="ru-RU"/>
              </w:rPr>
              <w:t>процентов</w:t>
            </w:r>
          </w:p>
        </w:tc>
      </w:tr>
      <w:tr w:rsidR="007B0E1E" w:rsidRPr="00C71081" w14:paraId="3BD5AB44" w14:textId="77777777" w:rsidTr="008B73EF">
        <w:trPr>
          <w:trHeight w:val="268"/>
        </w:trPr>
        <w:tc>
          <w:tcPr>
            <w:tcW w:w="2235" w:type="dxa"/>
            <w:vMerge w:val="restart"/>
            <w:vAlign w:val="center"/>
          </w:tcPr>
          <w:p w14:paraId="27EE7BE4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Рубли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РФ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313A150" w14:textId="77777777" w:rsidR="007B0E1E" w:rsidRPr="00C71081" w:rsidRDefault="00E24827" w:rsidP="008B73EF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от 0 до 1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 000</w:t>
            </w:r>
          </w:p>
        </w:tc>
        <w:tc>
          <w:tcPr>
            <w:tcW w:w="2268" w:type="dxa"/>
            <w:vAlign w:val="center"/>
          </w:tcPr>
          <w:p w14:paraId="2320387B" w14:textId="77777777" w:rsidR="007B0E1E" w:rsidRPr="00C71081" w:rsidRDefault="00E24827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0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 w:val="restart"/>
            <w:vAlign w:val="center"/>
          </w:tcPr>
          <w:p w14:paraId="262385ED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ежедневно</w:t>
            </w:r>
          </w:p>
        </w:tc>
      </w:tr>
      <w:tr w:rsidR="007B0E1E" w:rsidRPr="00C71081" w14:paraId="2A345AC7" w14:textId="77777777" w:rsidTr="008B73EF">
        <w:trPr>
          <w:trHeight w:val="268"/>
        </w:trPr>
        <w:tc>
          <w:tcPr>
            <w:tcW w:w="2235" w:type="dxa"/>
            <w:vMerge/>
            <w:vAlign w:val="center"/>
          </w:tcPr>
          <w:p w14:paraId="0F182533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2C57D2AC" w14:textId="77777777" w:rsidR="007B0E1E" w:rsidRPr="00C71081" w:rsidRDefault="00E24827" w:rsidP="00383DF4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от 1 000 до </w:t>
            </w:r>
            <w:r w:rsidR="00383DF4">
              <w:rPr>
                <w:rFonts w:ascii="UniCredit" w:hAnsi="UniCredit"/>
                <w:sz w:val="18"/>
                <w:szCs w:val="20"/>
                <w:lang w:val="ru-RU"/>
              </w:rPr>
              <w:t>750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 000</w:t>
            </w:r>
          </w:p>
        </w:tc>
        <w:tc>
          <w:tcPr>
            <w:tcW w:w="2268" w:type="dxa"/>
            <w:vAlign w:val="center"/>
          </w:tcPr>
          <w:p w14:paraId="4039CC5A" w14:textId="7403597E" w:rsidR="007B0E1E" w:rsidRPr="00C71081" w:rsidRDefault="00EB4892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7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0461778F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  <w:tr w:rsidR="007B0E1E" w:rsidRPr="00C71081" w14:paraId="2A01D1FA" w14:textId="77777777" w:rsidTr="008B73EF">
        <w:trPr>
          <w:trHeight w:val="268"/>
        </w:trPr>
        <w:tc>
          <w:tcPr>
            <w:tcW w:w="2235" w:type="dxa"/>
            <w:vMerge/>
            <w:vAlign w:val="center"/>
          </w:tcPr>
          <w:p w14:paraId="358B561E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3D737DDD" w14:textId="77777777" w:rsidR="007B0E1E" w:rsidRPr="00C71081" w:rsidRDefault="00383DF4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от 750 000 до 1 5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>00 000</w:t>
            </w:r>
          </w:p>
        </w:tc>
        <w:tc>
          <w:tcPr>
            <w:tcW w:w="2268" w:type="dxa"/>
            <w:vAlign w:val="center"/>
          </w:tcPr>
          <w:p w14:paraId="12B04D45" w14:textId="5DF00EEE" w:rsidR="007B0E1E" w:rsidRPr="00C71081" w:rsidRDefault="00CA391C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10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10911C92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  <w:tr w:rsidR="007B0E1E" w:rsidRPr="00C71081" w14:paraId="4D270468" w14:textId="77777777" w:rsidTr="008B73EF">
        <w:trPr>
          <w:trHeight w:val="268"/>
        </w:trPr>
        <w:tc>
          <w:tcPr>
            <w:tcW w:w="2235" w:type="dxa"/>
            <w:vMerge/>
            <w:vAlign w:val="center"/>
          </w:tcPr>
          <w:p w14:paraId="22E11B7E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30E8890A" w14:textId="77777777" w:rsidR="007B0E1E" w:rsidRPr="00C71081" w:rsidRDefault="00383DF4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от 1 500 000 до 4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> 000 000</w:t>
            </w:r>
          </w:p>
        </w:tc>
        <w:tc>
          <w:tcPr>
            <w:tcW w:w="2268" w:type="dxa"/>
            <w:vAlign w:val="center"/>
          </w:tcPr>
          <w:p w14:paraId="63DE1D6C" w14:textId="4ABEC3DF" w:rsidR="007B0E1E" w:rsidRPr="00C71081" w:rsidRDefault="00BB305D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11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5B1B9B70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  <w:tr w:rsidR="007B0E1E" w:rsidRPr="00C71081" w14:paraId="077AF94D" w14:textId="77777777" w:rsidTr="008B73EF">
        <w:trPr>
          <w:trHeight w:val="258"/>
        </w:trPr>
        <w:tc>
          <w:tcPr>
            <w:tcW w:w="2235" w:type="dxa"/>
            <w:vMerge/>
            <w:vAlign w:val="center"/>
          </w:tcPr>
          <w:p w14:paraId="6CE0F91F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0DC21752" w14:textId="7E4166E1" w:rsidR="007B0E1E" w:rsidRPr="00C71081" w:rsidRDefault="00383DF4" w:rsidP="00CA391C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oт 4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 000 000 до </w:t>
            </w:r>
            <w:r w:rsidR="00CA391C">
              <w:rPr>
                <w:rFonts w:ascii="UniCredit" w:hAnsi="UniCredit"/>
                <w:sz w:val="18"/>
                <w:szCs w:val="20"/>
                <w:lang w:val="ru-RU"/>
              </w:rPr>
              <w:t>200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 xml:space="preserve"> 000 000</w:t>
            </w:r>
          </w:p>
        </w:tc>
        <w:tc>
          <w:tcPr>
            <w:tcW w:w="2268" w:type="dxa"/>
            <w:vAlign w:val="center"/>
          </w:tcPr>
          <w:p w14:paraId="6A055E68" w14:textId="1A58B8F8" w:rsidR="007B0E1E" w:rsidRPr="00C71081" w:rsidRDefault="00CA391C" w:rsidP="007B0E1E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>
              <w:rPr>
                <w:rFonts w:ascii="UniCredit" w:hAnsi="UniCredit"/>
                <w:sz w:val="18"/>
                <w:szCs w:val="20"/>
                <w:lang w:val="ru-RU"/>
              </w:rPr>
              <w:t>7</w:t>
            </w:r>
            <w:r w:rsidR="007B0E1E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6B03AFC5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  <w:tr w:rsidR="007B0E1E" w:rsidRPr="00C71081" w14:paraId="4A4681EB" w14:textId="77777777" w:rsidTr="008B73EF">
        <w:trPr>
          <w:trHeight w:val="275"/>
        </w:trPr>
        <w:tc>
          <w:tcPr>
            <w:tcW w:w="2235" w:type="dxa"/>
            <w:vMerge/>
            <w:vAlign w:val="center"/>
          </w:tcPr>
          <w:p w14:paraId="13BAC5A2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  <w:tc>
          <w:tcPr>
            <w:tcW w:w="3685" w:type="dxa"/>
            <w:vAlign w:val="center"/>
          </w:tcPr>
          <w:p w14:paraId="7F3C9657" w14:textId="577DA73E" w:rsidR="007B0E1E" w:rsidRPr="00C71081" w:rsidRDefault="007B0E1E" w:rsidP="00CA391C">
            <w:pPr>
              <w:jc w:val="center"/>
              <w:rPr>
                <w:rFonts w:ascii="UniCredit" w:hAnsi="UniCredit"/>
                <w:sz w:val="18"/>
                <w:szCs w:val="20"/>
              </w:rPr>
            </w:pPr>
            <w:r w:rsidRPr="00C71081">
              <w:rPr>
                <w:rFonts w:ascii="UniCredit" w:hAnsi="UniCredit"/>
                <w:sz w:val="18"/>
                <w:szCs w:val="20"/>
              </w:rPr>
              <w:t>o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т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  <w:r w:rsidR="00CA391C">
              <w:rPr>
                <w:rFonts w:ascii="UniCredit" w:hAnsi="UniCredit"/>
                <w:sz w:val="18"/>
                <w:szCs w:val="20"/>
                <w:lang w:val="ru-RU"/>
              </w:rPr>
              <w:t>200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000 000 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и</w:t>
            </w:r>
            <w:r w:rsidRPr="00C71081">
              <w:rPr>
                <w:rFonts w:ascii="UniCredit" w:hAnsi="UniCredit"/>
                <w:sz w:val="18"/>
                <w:szCs w:val="20"/>
              </w:rPr>
              <w:t xml:space="preserve"> </w:t>
            </w: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выше</w:t>
            </w:r>
          </w:p>
        </w:tc>
        <w:tc>
          <w:tcPr>
            <w:tcW w:w="2268" w:type="dxa"/>
            <w:vAlign w:val="center"/>
          </w:tcPr>
          <w:p w14:paraId="5260742D" w14:textId="77777777" w:rsidR="007B0E1E" w:rsidRPr="00C71081" w:rsidRDefault="007B0E1E" w:rsidP="007B0E1E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  <w:r w:rsidRPr="00C71081">
              <w:rPr>
                <w:rFonts w:ascii="UniCredit" w:hAnsi="UniCredit"/>
                <w:sz w:val="18"/>
                <w:szCs w:val="20"/>
                <w:lang w:val="ru-RU"/>
              </w:rPr>
              <w:t>0</w:t>
            </w:r>
            <w:r w:rsidR="00EE7956" w:rsidRPr="00C71081">
              <w:rPr>
                <w:rFonts w:ascii="UniCredit" w:hAnsi="UniCredit"/>
                <w:sz w:val="18"/>
                <w:szCs w:val="20"/>
                <w:lang w:val="ru-RU"/>
              </w:rPr>
              <w:t>%</w:t>
            </w:r>
          </w:p>
        </w:tc>
        <w:tc>
          <w:tcPr>
            <w:tcW w:w="1640" w:type="dxa"/>
            <w:vMerge/>
            <w:vAlign w:val="center"/>
          </w:tcPr>
          <w:p w14:paraId="5955C3D4" w14:textId="77777777" w:rsidR="007B0E1E" w:rsidRPr="00C71081" w:rsidRDefault="007B0E1E" w:rsidP="008B73EF">
            <w:pPr>
              <w:jc w:val="center"/>
              <w:rPr>
                <w:rFonts w:ascii="UniCredit" w:hAnsi="UniCredit"/>
                <w:sz w:val="18"/>
                <w:szCs w:val="20"/>
                <w:lang w:val="ru-RU"/>
              </w:rPr>
            </w:pPr>
          </w:p>
        </w:tc>
      </w:tr>
    </w:tbl>
    <w:p w14:paraId="0DF2EF6A" w14:textId="77777777" w:rsidR="007B0E1E" w:rsidRPr="00C71081" w:rsidRDefault="007B0E1E" w:rsidP="007B0E1E">
      <w:pPr>
        <w:jc w:val="both"/>
        <w:rPr>
          <w:rFonts w:ascii="UniCredit" w:hAnsi="UniCredit"/>
          <w:sz w:val="10"/>
          <w:szCs w:val="10"/>
          <w:lang w:val="ru-RU"/>
        </w:rPr>
      </w:pPr>
    </w:p>
    <w:p w14:paraId="3BD75D38" w14:textId="77777777" w:rsidR="007B0E1E" w:rsidRPr="00C71081" w:rsidRDefault="007B0E1E" w:rsidP="007B0E1E">
      <w:pPr>
        <w:rPr>
          <w:rFonts w:ascii="UniCredit" w:hAnsi="UniCredit"/>
          <w:sz w:val="20"/>
          <w:szCs w:val="22"/>
          <w:lang w:val="ru-RU"/>
        </w:rPr>
      </w:pPr>
      <w:r w:rsidRPr="00C71081">
        <w:rPr>
          <w:rFonts w:ascii="UniCredit" w:hAnsi="UniCredit"/>
          <w:sz w:val="20"/>
          <w:szCs w:val="22"/>
          <w:lang w:val="ru-RU"/>
        </w:rPr>
        <w:t>Начисление процентов на текущие счета «Клик» в других валютах не производится.</w:t>
      </w:r>
    </w:p>
    <w:p w14:paraId="50201186" w14:textId="77777777" w:rsidR="007B0E1E" w:rsidRPr="00C71081" w:rsidRDefault="007B0E1E" w:rsidP="007B0E1E">
      <w:pPr>
        <w:jc w:val="center"/>
        <w:rPr>
          <w:rFonts w:ascii="UniCredit" w:hAnsi="UniCredit"/>
          <w:sz w:val="10"/>
          <w:szCs w:val="12"/>
          <w:lang w:val="ru-RU"/>
        </w:rPr>
      </w:pPr>
    </w:p>
    <w:p w14:paraId="794D15E5" w14:textId="77777777" w:rsidR="007B0E1E" w:rsidRPr="00C71081" w:rsidRDefault="007B0E1E" w:rsidP="007B0E1E">
      <w:pPr>
        <w:jc w:val="both"/>
        <w:rPr>
          <w:rFonts w:ascii="UniCredit" w:hAnsi="UniCredit"/>
          <w:i/>
          <w:sz w:val="16"/>
          <w:szCs w:val="18"/>
          <w:lang w:val="ru-RU"/>
        </w:rPr>
      </w:pPr>
      <w:r w:rsidRPr="00C71081">
        <w:rPr>
          <w:rFonts w:ascii="UniCredit" w:hAnsi="UniCredit"/>
          <w:i/>
          <w:sz w:val="16"/>
          <w:szCs w:val="18"/>
          <w:lang w:val="ru-RU"/>
        </w:rPr>
        <w:t xml:space="preserve">* Остаток на счете для целей начисления процентов делится на интервалы, к каждому из которых применяется своя процентная ставка. При указании диапазонов: «от» - включает нижнюю границу интервала, «до» - не включает верхнюю границу интервала. </w:t>
      </w:r>
    </w:p>
    <w:p w14:paraId="1D4DF8B1" w14:textId="77777777" w:rsidR="007B0E1E" w:rsidRPr="00C71081" w:rsidRDefault="007B0E1E" w:rsidP="007A0408">
      <w:pPr>
        <w:jc w:val="both"/>
        <w:rPr>
          <w:rFonts w:ascii="UniCredit" w:hAnsi="UniCredit"/>
          <w:i/>
          <w:sz w:val="6"/>
          <w:szCs w:val="6"/>
          <w:lang w:val="ru-RU"/>
        </w:rPr>
      </w:pPr>
    </w:p>
    <w:p w14:paraId="534A5393" w14:textId="2CCBD9A6" w:rsidR="00195433" w:rsidRPr="00B228B3" w:rsidRDefault="00E53BB3" w:rsidP="007B0E1E">
      <w:pPr>
        <w:jc w:val="both"/>
        <w:rPr>
          <w:rFonts w:ascii="UniCredit" w:hAnsi="UniCredit"/>
          <w:sz w:val="20"/>
          <w:szCs w:val="20"/>
          <w:lang w:val="ru-RU"/>
        </w:rPr>
      </w:pPr>
      <w:r w:rsidRPr="00B228B3">
        <w:rPr>
          <w:rFonts w:ascii="UniCredit" w:hAnsi="UniCredit"/>
          <w:sz w:val="20"/>
          <w:szCs w:val="20"/>
          <w:lang w:val="ru-RU"/>
        </w:rPr>
        <w:t>Процентные ставки в соответств</w:t>
      </w:r>
      <w:r w:rsidR="00021735" w:rsidRPr="00B228B3">
        <w:rPr>
          <w:rFonts w:ascii="UniCredit" w:hAnsi="UniCredit"/>
          <w:sz w:val="20"/>
          <w:szCs w:val="20"/>
          <w:lang w:val="ru-RU"/>
        </w:rPr>
        <w:t>ии с настоящим разделом применяю</w:t>
      </w:r>
      <w:r w:rsidRPr="00B228B3">
        <w:rPr>
          <w:rFonts w:ascii="UniCredit" w:hAnsi="UniCredit"/>
          <w:sz w:val="20"/>
          <w:szCs w:val="20"/>
          <w:lang w:val="ru-RU"/>
        </w:rPr>
        <w:t>тся</w:t>
      </w:r>
      <w:r w:rsidR="00562E1E">
        <w:rPr>
          <w:rFonts w:ascii="UniCredit" w:hAnsi="UniCredit"/>
          <w:sz w:val="20"/>
          <w:szCs w:val="20"/>
          <w:lang w:val="ru-RU"/>
        </w:rPr>
        <w:t>,</w:t>
      </w:r>
      <w:bookmarkStart w:id="0" w:name="_GoBack"/>
      <w:bookmarkEnd w:id="0"/>
      <w:r w:rsidRPr="00B228B3">
        <w:rPr>
          <w:rFonts w:ascii="UniCredit" w:hAnsi="UniCredit"/>
          <w:sz w:val="20"/>
          <w:szCs w:val="20"/>
          <w:lang w:val="ru-RU"/>
        </w:rPr>
        <w:t xml:space="preserve"> начиная с рабочего дня следующего за днем активации Карты или открытия текущего счета «Клик», и действуют до первого рабочего дня месяца, следующего за месяцем блокировки Карты, если Карта в этом месяце не была разблокирована</w:t>
      </w:r>
      <w:r w:rsidR="007B0E1E" w:rsidRPr="00B228B3">
        <w:rPr>
          <w:rFonts w:ascii="UniCredit" w:hAnsi="UniCredit"/>
          <w:sz w:val="20"/>
          <w:szCs w:val="20"/>
          <w:lang w:val="ru-RU"/>
        </w:rPr>
        <w:t>.</w:t>
      </w:r>
    </w:p>
    <w:p w14:paraId="65750DDC" w14:textId="77777777" w:rsidR="00BD7F32" w:rsidRDefault="00BD7F32" w:rsidP="007B0E1E">
      <w:pPr>
        <w:jc w:val="both"/>
        <w:rPr>
          <w:rFonts w:ascii="UniCredit" w:hAnsi="UniCredit"/>
          <w:sz w:val="18"/>
          <w:szCs w:val="22"/>
          <w:lang w:val="ru-RU"/>
        </w:rPr>
      </w:pPr>
    </w:p>
    <w:p w14:paraId="30C2D676" w14:textId="77777777" w:rsidR="00BD7F32" w:rsidRPr="00C71081" w:rsidRDefault="00BD7F32" w:rsidP="007B0E1E">
      <w:pPr>
        <w:jc w:val="both"/>
        <w:rPr>
          <w:rFonts w:ascii="UniCredit" w:hAnsi="UniCredit"/>
          <w:sz w:val="18"/>
          <w:szCs w:val="22"/>
          <w:lang w:val="ru-RU"/>
        </w:rPr>
      </w:pPr>
    </w:p>
    <w:p w14:paraId="3DAA33AD" w14:textId="77777777" w:rsidR="00292445" w:rsidRPr="00C71081" w:rsidRDefault="00195433" w:rsidP="00195433">
      <w:pPr>
        <w:jc w:val="center"/>
        <w:rPr>
          <w:rFonts w:ascii="UniCredit" w:hAnsi="UniCredit"/>
          <w:sz w:val="20"/>
          <w:szCs w:val="22"/>
          <w:lang w:val="ru-RU"/>
        </w:rPr>
      </w:pPr>
      <w:r w:rsidRPr="00C71081">
        <w:rPr>
          <w:rFonts w:ascii="UniCredit" w:hAnsi="UniCredit"/>
          <w:sz w:val="20"/>
          <w:szCs w:val="22"/>
          <w:lang w:val="ru-RU"/>
        </w:rPr>
        <w:t>* * *</w:t>
      </w:r>
    </w:p>
    <w:p w14:paraId="76C05403" w14:textId="1B4627D0" w:rsidR="0002414B" w:rsidRPr="00904B5A" w:rsidRDefault="00653B69" w:rsidP="00A9389D">
      <w:pPr>
        <w:jc w:val="both"/>
        <w:rPr>
          <w:rFonts w:ascii="UniCredit" w:hAnsi="UniCredit"/>
          <w:bCs/>
          <w:sz w:val="20"/>
          <w:szCs w:val="22"/>
          <w:lang w:val="ru-RU"/>
        </w:rPr>
      </w:pPr>
      <w:r w:rsidRPr="00C71081">
        <w:rPr>
          <w:rFonts w:ascii="UniCredit" w:hAnsi="UniCredit"/>
          <w:sz w:val="20"/>
          <w:szCs w:val="22"/>
          <w:lang w:val="ru-RU"/>
        </w:rPr>
        <w:t>Процентные ставки могут изменяться Банком в одностороннем порядке. Информация об изменении Процентных ставок доводится до сведения клиентов в соответствии с Условиями комплексного банковско</w:t>
      </w:r>
      <w:r w:rsidR="00DA582C" w:rsidRPr="00C71081">
        <w:rPr>
          <w:rFonts w:ascii="UniCredit" w:hAnsi="UniCredit"/>
          <w:sz w:val="20"/>
          <w:szCs w:val="22"/>
          <w:lang w:val="ru-RU"/>
        </w:rPr>
        <w:t xml:space="preserve">го обслуживания физических лиц </w:t>
      </w:r>
      <w:r w:rsidRPr="00C71081">
        <w:rPr>
          <w:rFonts w:ascii="UniCredit" w:hAnsi="UniCredit"/>
          <w:sz w:val="20"/>
          <w:szCs w:val="22"/>
          <w:lang w:val="ru-RU"/>
        </w:rPr>
        <w:t>АО ЮниКредит Банк.</w:t>
      </w:r>
      <w:r w:rsidR="0002414B">
        <w:rPr>
          <w:rFonts w:ascii="UniCredit" w:hAnsi="UniCredit"/>
          <w:sz w:val="20"/>
          <w:szCs w:val="22"/>
          <w:lang w:val="ru-RU"/>
        </w:rPr>
        <w:t xml:space="preserve"> </w:t>
      </w:r>
      <w:r w:rsidR="0002414B" w:rsidRPr="00C71081">
        <w:rPr>
          <w:rFonts w:ascii="UniCredit" w:hAnsi="UniCredit"/>
          <w:sz w:val="20"/>
          <w:szCs w:val="22"/>
          <w:lang w:val="ru-RU"/>
        </w:rPr>
        <w:t xml:space="preserve">Начисление процентов </w:t>
      </w:r>
      <w:r w:rsidR="0002414B" w:rsidRPr="00904B5A">
        <w:rPr>
          <w:rFonts w:ascii="UniCredit" w:hAnsi="UniCredit"/>
          <w:sz w:val="20"/>
          <w:szCs w:val="22"/>
          <w:lang w:val="ru-RU"/>
        </w:rPr>
        <w:t>на текущие счета помимо указанных выше не</w:t>
      </w:r>
      <w:r w:rsidR="0002414B" w:rsidRPr="00904B5A">
        <w:rPr>
          <w:rFonts w:ascii="UniCredit" w:hAnsi="UniCredit"/>
          <w:bCs/>
          <w:sz w:val="20"/>
          <w:szCs w:val="22"/>
          <w:lang w:val="ru-RU"/>
        </w:rPr>
        <w:t xml:space="preserve"> производится.</w:t>
      </w:r>
    </w:p>
    <w:p w14:paraId="7EF421C4" w14:textId="77777777" w:rsidR="0002414B" w:rsidRPr="00C71081" w:rsidRDefault="0002414B" w:rsidP="004B7FAB">
      <w:pPr>
        <w:jc w:val="both"/>
        <w:rPr>
          <w:rFonts w:ascii="UniCredit" w:hAnsi="UniCredit"/>
          <w:sz w:val="20"/>
          <w:szCs w:val="22"/>
          <w:lang w:val="ru-RU"/>
        </w:rPr>
      </w:pPr>
    </w:p>
    <w:sectPr w:rsidR="0002414B" w:rsidRPr="00C71081" w:rsidSect="00C71081">
      <w:pgSz w:w="11170" w:h="15842"/>
      <w:pgMar w:top="567" w:right="567" w:bottom="142" w:left="567" w:header="284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1E810" w14:textId="77777777" w:rsidR="00401E8C" w:rsidRDefault="00401E8C" w:rsidP="00671013">
      <w:r>
        <w:separator/>
      </w:r>
    </w:p>
  </w:endnote>
  <w:endnote w:type="continuationSeparator" w:id="0">
    <w:p w14:paraId="1EA15552" w14:textId="77777777" w:rsidR="00401E8C" w:rsidRDefault="00401E8C" w:rsidP="0067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Credit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F1419" w14:textId="77777777" w:rsidR="00401E8C" w:rsidRDefault="00401E8C" w:rsidP="00671013">
      <w:r>
        <w:separator/>
      </w:r>
    </w:p>
  </w:footnote>
  <w:footnote w:type="continuationSeparator" w:id="0">
    <w:p w14:paraId="45F93114" w14:textId="77777777" w:rsidR="00401E8C" w:rsidRDefault="00401E8C" w:rsidP="00671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CCD"/>
    <w:multiLevelType w:val="hybridMultilevel"/>
    <w:tmpl w:val="F5EE4724"/>
    <w:lvl w:ilvl="0" w:tplc="9BCC6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22F990">
      <w:numFmt w:val="none"/>
      <w:lvlText w:val=""/>
      <w:lvlJc w:val="left"/>
      <w:pPr>
        <w:tabs>
          <w:tab w:val="num" w:pos="360"/>
        </w:tabs>
      </w:pPr>
    </w:lvl>
    <w:lvl w:ilvl="2" w:tplc="C0BCA2C8">
      <w:numFmt w:val="none"/>
      <w:lvlText w:val=""/>
      <w:lvlJc w:val="left"/>
      <w:pPr>
        <w:tabs>
          <w:tab w:val="num" w:pos="360"/>
        </w:tabs>
      </w:pPr>
    </w:lvl>
    <w:lvl w:ilvl="3" w:tplc="48043D46">
      <w:numFmt w:val="none"/>
      <w:lvlText w:val=""/>
      <w:lvlJc w:val="left"/>
      <w:pPr>
        <w:tabs>
          <w:tab w:val="num" w:pos="360"/>
        </w:tabs>
      </w:pPr>
    </w:lvl>
    <w:lvl w:ilvl="4" w:tplc="F26CA2D0">
      <w:numFmt w:val="none"/>
      <w:lvlText w:val=""/>
      <w:lvlJc w:val="left"/>
      <w:pPr>
        <w:tabs>
          <w:tab w:val="num" w:pos="360"/>
        </w:tabs>
      </w:pPr>
    </w:lvl>
    <w:lvl w:ilvl="5" w:tplc="7E7CF8B4">
      <w:numFmt w:val="none"/>
      <w:lvlText w:val=""/>
      <w:lvlJc w:val="left"/>
      <w:pPr>
        <w:tabs>
          <w:tab w:val="num" w:pos="360"/>
        </w:tabs>
      </w:pPr>
    </w:lvl>
    <w:lvl w:ilvl="6" w:tplc="D50EFBC6">
      <w:numFmt w:val="none"/>
      <w:lvlText w:val=""/>
      <w:lvlJc w:val="left"/>
      <w:pPr>
        <w:tabs>
          <w:tab w:val="num" w:pos="360"/>
        </w:tabs>
      </w:pPr>
    </w:lvl>
    <w:lvl w:ilvl="7" w:tplc="8DE4EA6C">
      <w:numFmt w:val="none"/>
      <w:lvlText w:val=""/>
      <w:lvlJc w:val="left"/>
      <w:pPr>
        <w:tabs>
          <w:tab w:val="num" w:pos="360"/>
        </w:tabs>
      </w:pPr>
    </w:lvl>
    <w:lvl w:ilvl="8" w:tplc="F2F2DA5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21627AF"/>
    <w:multiLevelType w:val="hybridMultilevel"/>
    <w:tmpl w:val="47223A58"/>
    <w:lvl w:ilvl="0" w:tplc="60225D78">
      <w:start w:val="1"/>
      <w:numFmt w:val="bullet"/>
      <w:lvlText w:val="-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1"/>
        </w:tabs>
        <w:ind w:left="22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1"/>
        </w:tabs>
        <w:ind w:left="2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1"/>
        </w:tabs>
        <w:ind w:left="3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1"/>
        </w:tabs>
        <w:ind w:left="43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1"/>
        </w:tabs>
        <w:ind w:left="5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1"/>
        </w:tabs>
        <w:ind w:left="5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1"/>
        </w:tabs>
        <w:ind w:left="65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1"/>
        </w:tabs>
        <w:ind w:left="7271" w:hanging="360"/>
      </w:pPr>
      <w:rPr>
        <w:rFonts w:ascii="Wingdings" w:hAnsi="Wingdings" w:hint="default"/>
      </w:rPr>
    </w:lvl>
  </w:abstractNum>
  <w:abstractNum w:abstractNumId="2" w15:restartNumberingAfterBreak="0">
    <w:nsid w:val="02CA3274"/>
    <w:multiLevelType w:val="hybridMultilevel"/>
    <w:tmpl w:val="373A15C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12A5"/>
    <w:multiLevelType w:val="hybridMultilevel"/>
    <w:tmpl w:val="F06E70C0"/>
    <w:lvl w:ilvl="0" w:tplc="60225D78">
      <w:start w:val="1"/>
      <w:numFmt w:val="bullet"/>
      <w:lvlText w:val="-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1"/>
        </w:tabs>
        <w:ind w:left="22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1"/>
        </w:tabs>
        <w:ind w:left="2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1"/>
        </w:tabs>
        <w:ind w:left="3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1"/>
        </w:tabs>
        <w:ind w:left="43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1"/>
        </w:tabs>
        <w:ind w:left="5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1"/>
        </w:tabs>
        <w:ind w:left="5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1"/>
        </w:tabs>
        <w:ind w:left="65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1"/>
        </w:tabs>
        <w:ind w:left="7271" w:hanging="360"/>
      </w:pPr>
      <w:rPr>
        <w:rFonts w:ascii="Wingdings" w:hAnsi="Wingdings" w:hint="default"/>
      </w:rPr>
    </w:lvl>
  </w:abstractNum>
  <w:abstractNum w:abstractNumId="4" w15:restartNumberingAfterBreak="0">
    <w:nsid w:val="102C0C67"/>
    <w:multiLevelType w:val="multilevel"/>
    <w:tmpl w:val="F0FA26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24"/>
        </w:tabs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76"/>
        </w:tabs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88"/>
        </w:tabs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52"/>
        </w:tabs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4"/>
        </w:tabs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016"/>
        </w:tabs>
        <w:ind w:left="11016" w:hanging="1800"/>
      </w:pPr>
      <w:rPr>
        <w:rFonts w:hint="default"/>
      </w:rPr>
    </w:lvl>
  </w:abstractNum>
  <w:abstractNum w:abstractNumId="5" w15:restartNumberingAfterBreak="0">
    <w:nsid w:val="12377FFC"/>
    <w:multiLevelType w:val="hybridMultilevel"/>
    <w:tmpl w:val="7264F558"/>
    <w:lvl w:ilvl="0" w:tplc="5D469F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6" w15:restartNumberingAfterBreak="0">
    <w:nsid w:val="1238144E"/>
    <w:multiLevelType w:val="multilevel"/>
    <w:tmpl w:val="6FF21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7264EB3"/>
    <w:multiLevelType w:val="hybridMultilevel"/>
    <w:tmpl w:val="BD88B794"/>
    <w:lvl w:ilvl="0" w:tplc="F7F8A692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D83328"/>
    <w:multiLevelType w:val="hybridMultilevel"/>
    <w:tmpl w:val="2B688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3F1FEC"/>
    <w:multiLevelType w:val="multilevel"/>
    <w:tmpl w:val="0BBEF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1F791F0C"/>
    <w:multiLevelType w:val="multilevel"/>
    <w:tmpl w:val="6FF21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7714F6"/>
    <w:multiLevelType w:val="hybridMultilevel"/>
    <w:tmpl w:val="E7DED09C"/>
    <w:lvl w:ilvl="0" w:tplc="6B484B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39E0CADA">
      <w:numFmt w:val="none"/>
      <w:lvlText w:val=""/>
      <w:lvlJc w:val="left"/>
      <w:pPr>
        <w:tabs>
          <w:tab w:val="num" w:pos="360"/>
        </w:tabs>
      </w:pPr>
    </w:lvl>
    <w:lvl w:ilvl="2" w:tplc="81787A6A">
      <w:numFmt w:val="none"/>
      <w:lvlText w:val=""/>
      <w:lvlJc w:val="left"/>
      <w:pPr>
        <w:tabs>
          <w:tab w:val="num" w:pos="360"/>
        </w:tabs>
      </w:pPr>
    </w:lvl>
    <w:lvl w:ilvl="3" w:tplc="C81C8BDC">
      <w:numFmt w:val="none"/>
      <w:lvlText w:val=""/>
      <w:lvlJc w:val="left"/>
      <w:pPr>
        <w:tabs>
          <w:tab w:val="num" w:pos="360"/>
        </w:tabs>
      </w:pPr>
    </w:lvl>
    <w:lvl w:ilvl="4" w:tplc="162E4706">
      <w:numFmt w:val="none"/>
      <w:lvlText w:val=""/>
      <w:lvlJc w:val="left"/>
      <w:pPr>
        <w:tabs>
          <w:tab w:val="num" w:pos="360"/>
        </w:tabs>
      </w:pPr>
    </w:lvl>
    <w:lvl w:ilvl="5" w:tplc="1B2A8E60">
      <w:numFmt w:val="none"/>
      <w:lvlText w:val=""/>
      <w:lvlJc w:val="left"/>
      <w:pPr>
        <w:tabs>
          <w:tab w:val="num" w:pos="360"/>
        </w:tabs>
      </w:pPr>
    </w:lvl>
    <w:lvl w:ilvl="6" w:tplc="5F861646">
      <w:numFmt w:val="none"/>
      <w:lvlText w:val=""/>
      <w:lvlJc w:val="left"/>
      <w:pPr>
        <w:tabs>
          <w:tab w:val="num" w:pos="360"/>
        </w:tabs>
      </w:pPr>
    </w:lvl>
    <w:lvl w:ilvl="7" w:tplc="BCD2450E">
      <w:numFmt w:val="none"/>
      <w:lvlText w:val=""/>
      <w:lvlJc w:val="left"/>
      <w:pPr>
        <w:tabs>
          <w:tab w:val="num" w:pos="360"/>
        </w:tabs>
      </w:pPr>
    </w:lvl>
    <w:lvl w:ilvl="8" w:tplc="B61A96FA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5487D22"/>
    <w:multiLevelType w:val="multilevel"/>
    <w:tmpl w:val="109EC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13" w15:restartNumberingAfterBreak="0">
    <w:nsid w:val="29B362EF"/>
    <w:multiLevelType w:val="hybridMultilevel"/>
    <w:tmpl w:val="6FA20D5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5608F"/>
    <w:multiLevelType w:val="multilevel"/>
    <w:tmpl w:val="6FF21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1DB6DC1"/>
    <w:multiLevelType w:val="hybridMultilevel"/>
    <w:tmpl w:val="1C52CD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801E2"/>
    <w:multiLevelType w:val="multilevel"/>
    <w:tmpl w:val="F0FA26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24"/>
        </w:tabs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76"/>
        </w:tabs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88"/>
        </w:tabs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52"/>
        </w:tabs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4"/>
        </w:tabs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016"/>
        </w:tabs>
        <w:ind w:left="11016" w:hanging="1800"/>
      </w:pPr>
      <w:rPr>
        <w:rFonts w:hint="default"/>
      </w:rPr>
    </w:lvl>
  </w:abstractNum>
  <w:abstractNum w:abstractNumId="17" w15:restartNumberingAfterBreak="0">
    <w:nsid w:val="3D756AA0"/>
    <w:multiLevelType w:val="multilevel"/>
    <w:tmpl w:val="702CB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24"/>
        </w:tabs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76"/>
        </w:tabs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88"/>
        </w:tabs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52"/>
        </w:tabs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4"/>
        </w:tabs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016"/>
        </w:tabs>
        <w:ind w:left="11016" w:hanging="1800"/>
      </w:pPr>
      <w:rPr>
        <w:rFonts w:hint="default"/>
      </w:rPr>
    </w:lvl>
  </w:abstractNum>
  <w:abstractNum w:abstractNumId="18" w15:restartNumberingAfterBreak="0">
    <w:nsid w:val="3F5314A6"/>
    <w:multiLevelType w:val="hybridMultilevel"/>
    <w:tmpl w:val="2B1AF4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0C2667"/>
    <w:multiLevelType w:val="multilevel"/>
    <w:tmpl w:val="26782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2%4%1..%3.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1396E3D"/>
    <w:multiLevelType w:val="multilevel"/>
    <w:tmpl w:val="58C87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4430541"/>
    <w:multiLevelType w:val="hybridMultilevel"/>
    <w:tmpl w:val="AF6EC27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51BDE"/>
    <w:multiLevelType w:val="hybridMultilevel"/>
    <w:tmpl w:val="DD4AF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C0944"/>
    <w:multiLevelType w:val="multilevel"/>
    <w:tmpl w:val="58C87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4EDC1306"/>
    <w:multiLevelType w:val="multilevel"/>
    <w:tmpl w:val="087E10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24"/>
        </w:tabs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76"/>
        </w:tabs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88"/>
        </w:tabs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52"/>
        </w:tabs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04"/>
        </w:tabs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016"/>
        </w:tabs>
        <w:ind w:left="11016" w:hanging="1800"/>
      </w:pPr>
      <w:rPr>
        <w:rFonts w:hint="default"/>
      </w:rPr>
    </w:lvl>
  </w:abstractNum>
  <w:abstractNum w:abstractNumId="25" w15:restartNumberingAfterBreak="0">
    <w:nsid w:val="514C1513"/>
    <w:multiLevelType w:val="hybridMultilevel"/>
    <w:tmpl w:val="54A2292E"/>
    <w:lvl w:ilvl="0" w:tplc="60225D78">
      <w:start w:val="1"/>
      <w:numFmt w:val="bullet"/>
      <w:lvlText w:val="-"/>
      <w:lvlJc w:val="left"/>
      <w:pPr>
        <w:tabs>
          <w:tab w:val="num" w:pos="1201"/>
        </w:tabs>
        <w:ind w:left="12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1"/>
        </w:tabs>
        <w:ind w:left="22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1"/>
        </w:tabs>
        <w:ind w:left="37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1"/>
        </w:tabs>
        <w:ind w:left="44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1"/>
        </w:tabs>
        <w:ind w:left="51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1"/>
        </w:tabs>
        <w:ind w:left="58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1"/>
        </w:tabs>
        <w:ind w:left="66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1"/>
        </w:tabs>
        <w:ind w:left="7321" w:hanging="360"/>
      </w:pPr>
      <w:rPr>
        <w:rFonts w:ascii="Wingdings" w:hAnsi="Wingdings" w:hint="default"/>
      </w:rPr>
    </w:lvl>
  </w:abstractNum>
  <w:abstractNum w:abstractNumId="26" w15:restartNumberingAfterBreak="0">
    <w:nsid w:val="53EA0D98"/>
    <w:multiLevelType w:val="hybridMultilevel"/>
    <w:tmpl w:val="1EF853DE"/>
    <w:lvl w:ilvl="0" w:tplc="5A04DA9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4CD7223"/>
    <w:multiLevelType w:val="hybridMultilevel"/>
    <w:tmpl w:val="E04EA8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FB5037"/>
    <w:multiLevelType w:val="hybridMultilevel"/>
    <w:tmpl w:val="17BCDF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DE0B19"/>
    <w:multiLevelType w:val="hybridMultilevel"/>
    <w:tmpl w:val="F1803AD0"/>
    <w:lvl w:ilvl="0" w:tplc="60225D78">
      <w:start w:val="1"/>
      <w:numFmt w:val="bullet"/>
      <w:lvlText w:val="-"/>
      <w:lvlJc w:val="left"/>
      <w:pPr>
        <w:tabs>
          <w:tab w:val="num" w:pos="1201"/>
        </w:tabs>
        <w:ind w:left="12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1"/>
        </w:tabs>
        <w:ind w:left="22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1"/>
        </w:tabs>
        <w:ind w:left="37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1"/>
        </w:tabs>
        <w:ind w:left="44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1"/>
        </w:tabs>
        <w:ind w:left="51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1"/>
        </w:tabs>
        <w:ind w:left="58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1"/>
        </w:tabs>
        <w:ind w:left="66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1"/>
        </w:tabs>
        <w:ind w:left="7321" w:hanging="360"/>
      </w:pPr>
      <w:rPr>
        <w:rFonts w:ascii="Wingdings" w:hAnsi="Wingdings" w:hint="default"/>
      </w:rPr>
    </w:lvl>
  </w:abstractNum>
  <w:abstractNum w:abstractNumId="30" w15:restartNumberingAfterBreak="0">
    <w:nsid w:val="62175A2D"/>
    <w:multiLevelType w:val="hybridMultilevel"/>
    <w:tmpl w:val="7B481E92"/>
    <w:lvl w:ilvl="0" w:tplc="E5128EBE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31" w15:restartNumberingAfterBreak="0">
    <w:nsid w:val="62E66634"/>
    <w:multiLevelType w:val="hybridMultilevel"/>
    <w:tmpl w:val="3E8605D2"/>
    <w:lvl w:ilvl="0" w:tplc="F7F8A692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color w:val="auto"/>
      </w:rPr>
    </w:lvl>
    <w:lvl w:ilvl="1" w:tplc="AC1E66A8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2" w15:restartNumberingAfterBreak="0">
    <w:nsid w:val="636C6D19"/>
    <w:multiLevelType w:val="multilevel"/>
    <w:tmpl w:val="28DA8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65275AA0"/>
    <w:multiLevelType w:val="hybridMultilevel"/>
    <w:tmpl w:val="63BC955E"/>
    <w:lvl w:ilvl="0" w:tplc="E62251B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2"/>
      </w:rPr>
    </w:lvl>
    <w:lvl w:ilvl="1" w:tplc="F4B08808">
      <w:numFmt w:val="none"/>
      <w:lvlText w:val=""/>
      <w:lvlJc w:val="left"/>
      <w:pPr>
        <w:tabs>
          <w:tab w:val="num" w:pos="360"/>
        </w:tabs>
      </w:pPr>
    </w:lvl>
    <w:lvl w:ilvl="2" w:tplc="252EC418">
      <w:numFmt w:val="none"/>
      <w:lvlText w:val=""/>
      <w:lvlJc w:val="left"/>
      <w:pPr>
        <w:tabs>
          <w:tab w:val="num" w:pos="360"/>
        </w:tabs>
      </w:pPr>
    </w:lvl>
    <w:lvl w:ilvl="3" w:tplc="4D7AC338">
      <w:numFmt w:val="none"/>
      <w:lvlText w:val=""/>
      <w:lvlJc w:val="left"/>
      <w:pPr>
        <w:tabs>
          <w:tab w:val="num" w:pos="360"/>
        </w:tabs>
      </w:pPr>
    </w:lvl>
    <w:lvl w:ilvl="4" w:tplc="E814DA62">
      <w:numFmt w:val="none"/>
      <w:lvlText w:val=""/>
      <w:lvlJc w:val="left"/>
      <w:pPr>
        <w:tabs>
          <w:tab w:val="num" w:pos="360"/>
        </w:tabs>
      </w:pPr>
    </w:lvl>
    <w:lvl w:ilvl="5" w:tplc="7A023A9C">
      <w:numFmt w:val="none"/>
      <w:lvlText w:val=""/>
      <w:lvlJc w:val="left"/>
      <w:pPr>
        <w:tabs>
          <w:tab w:val="num" w:pos="360"/>
        </w:tabs>
      </w:pPr>
    </w:lvl>
    <w:lvl w:ilvl="6" w:tplc="D8ACD5E2">
      <w:numFmt w:val="none"/>
      <w:lvlText w:val=""/>
      <w:lvlJc w:val="left"/>
      <w:pPr>
        <w:tabs>
          <w:tab w:val="num" w:pos="360"/>
        </w:tabs>
      </w:pPr>
    </w:lvl>
    <w:lvl w:ilvl="7" w:tplc="BFC0B656">
      <w:numFmt w:val="none"/>
      <w:lvlText w:val=""/>
      <w:lvlJc w:val="left"/>
      <w:pPr>
        <w:tabs>
          <w:tab w:val="num" w:pos="360"/>
        </w:tabs>
      </w:pPr>
    </w:lvl>
    <w:lvl w:ilvl="8" w:tplc="A668738C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61C18D1"/>
    <w:multiLevelType w:val="multilevel"/>
    <w:tmpl w:val="6FF21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7A62751"/>
    <w:multiLevelType w:val="multilevel"/>
    <w:tmpl w:val="F4282A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12"/>
        </w:tabs>
        <w:ind w:left="10512" w:hanging="1440"/>
      </w:pPr>
      <w:rPr>
        <w:rFonts w:hint="default"/>
      </w:rPr>
    </w:lvl>
  </w:abstractNum>
  <w:abstractNum w:abstractNumId="36" w15:restartNumberingAfterBreak="0">
    <w:nsid w:val="69C570B3"/>
    <w:multiLevelType w:val="multilevel"/>
    <w:tmpl w:val="A69AF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24"/>
        </w:tabs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76"/>
        </w:tabs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88"/>
        </w:tabs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352"/>
        </w:tabs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504"/>
        </w:tabs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56"/>
        </w:tabs>
        <w:ind w:left="10656" w:hanging="1440"/>
      </w:pPr>
      <w:rPr>
        <w:rFonts w:hint="default"/>
      </w:rPr>
    </w:lvl>
  </w:abstractNum>
  <w:abstractNum w:abstractNumId="37" w15:restartNumberingAfterBreak="0">
    <w:nsid w:val="6ABC07CC"/>
    <w:multiLevelType w:val="hybridMultilevel"/>
    <w:tmpl w:val="39A4ABD8"/>
    <w:lvl w:ilvl="0" w:tplc="5D469F5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8" w15:restartNumberingAfterBreak="0">
    <w:nsid w:val="6BB3127B"/>
    <w:multiLevelType w:val="hybridMultilevel"/>
    <w:tmpl w:val="5E44BC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342F7"/>
    <w:multiLevelType w:val="multilevel"/>
    <w:tmpl w:val="58C87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76AA3CAE"/>
    <w:multiLevelType w:val="hybridMultilevel"/>
    <w:tmpl w:val="F53A58A0"/>
    <w:lvl w:ilvl="0" w:tplc="1ACA3642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1" w15:restartNumberingAfterBreak="0">
    <w:nsid w:val="772E032A"/>
    <w:multiLevelType w:val="hybridMultilevel"/>
    <w:tmpl w:val="157A4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EC7BA4"/>
    <w:multiLevelType w:val="hybridMultilevel"/>
    <w:tmpl w:val="55A87E32"/>
    <w:lvl w:ilvl="0" w:tplc="A5FA0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1A86EE">
      <w:start w:val="1"/>
      <w:numFmt w:val="decimal"/>
      <w:isLgl/>
      <w:lvlText w:val="%2.1"/>
      <w:lvlJc w:val="left"/>
      <w:pPr>
        <w:tabs>
          <w:tab w:val="num" w:pos="1511"/>
        </w:tabs>
        <w:ind w:left="1511" w:hanging="360"/>
      </w:pPr>
      <w:rPr>
        <w:rFonts w:hint="default"/>
      </w:rPr>
    </w:lvl>
    <w:lvl w:ilvl="2" w:tplc="013E05F0">
      <w:numFmt w:val="none"/>
      <w:lvlText w:val=""/>
      <w:lvlJc w:val="left"/>
      <w:pPr>
        <w:tabs>
          <w:tab w:val="num" w:pos="360"/>
        </w:tabs>
      </w:pPr>
    </w:lvl>
    <w:lvl w:ilvl="3" w:tplc="0D4ED078">
      <w:numFmt w:val="none"/>
      <w:lvlText w:val=""/>
      <w:lvlJc w:val="left"/>
      <w:pPr>
        <w:tabs>
          <w:tab w:val="num" w:pos="360"/>
        </w:tabs>
      </w:pPr>
    </w:lvl>
    <w:lvl w:ilvl="4" w:tplc="26B66E00">
      <w:numFmt w:val="none"/>
      <w:lvlText w:val=""/>
      <w:lvlJc w:val="left"/>
      <w:pPr>
        <w:tabs>
          <w:tab w:val="num" w:pos="360"/>
        </w:tabs>
      </w:pPr>
    </w:lvl>
    <w:lvl w:ilvl="5" w:tplc="9474A5A4">
      <w:numFmt w:val="none"/>
      <w:lvlText w:val=""/>
      <w:lvlJc w:val="left"/>
      <w:pPr>
        <w:tabs>
          <w:tab w:val="num" w:pos="360"/>
        </w:tabs>
      </w:pPr>
    </w:lvl>
    <w:lvl w:ilvl="6" w:tplc="181069DE">
      <w:numFmt w:val="none"/>
      <w:lvlText w:val=""/>
      <w:lvlJc w:val="left"/>
      <w:pPr>
        <w:tabs>
          <w:tab w:val="num" w:pos="360"/>
        </w:tabs>
      </w:pPr>
    </w:lvl>
    <w:lvl w:ilvl="7" w:tplc="C01EC874">
      <w:numFmt w:val="none"/>
      <w:lvlText w:val=""/>
      <w:lvlJc w:val="left"/>
      <w:pPr>
        <w:tabs>
          <w:tab w:val="num" w:pos="360"/>
        </w:tabs>
      </w:pPr>
    </w:lvl>
    <w:lvl w:ilvl="8" w:tplc="7E8667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1"/>
  </w:num>
  <w:num w:numId="2">
    <w:abstractNumId w:val="31"/>
  </w:num>
  <w:num w:numId="3">
    <w:abstractNumId w:val="18"/>
  </w:num>
  <w:num w:numId="4">
    <w:abstractNumId w:val="7"/>
  </w:num>
  <w:num w:numId="5">
    <w:abstractNumId w:val="8"/>
  </w:num>
  <w:num w:numId="6">
    <w:abstractNumId w:val="30"/>
  </w:num>
  <w:num w:numId="7">
    <w:abstractNumId w:val="12"/>
  </w:num>
  <w:num w:numId="8">
    <w:abstractNumId w:val="17"/>
  </w:num>
  <w:num w:numId="9">
    <w:abstractNumId w:val="16"/>
  </w:num>
  <w:num w:numId="10">
    <w:abstractNumId w:val="4"/>
  </w:num>
  <w:num w:numId="11">
    <w:abstractNumId w:val="24"/>
  </w:num>
  <w:num w:numId="12">
    <w:abstractNumId w:val="0"/>
  </w:num>
  <w:num w:numId="13">
    <w:abstractNumId w:val="36"/>
  </w:num>
  <w:num w:numId="14">
    <w:abstractNumId w:val="35"/>
  </w:num>
  <w:num w:numId="15">
    <w:abstractNumId w:val="11"/>
  </w:num>
  <w:num w:numId="16">
    <w:abstractNumId w:val="42"/>
  </w:num>
  <w:num w:numId="17">
    <w:abstractNumId w:val="19"/>
  </w:num>
  <w:num w:numId="18">
    <w:abstractNumId w:val="25"/>
  </w:num>
  <w:num w:numId="19">
    <w:abstractNumId w:val="3"/>
  </w:num>
  <w:num w:numId="20">
    <w:abstractNumId w:val="1"/>
  </w:num>
  <w:num w:numId="21">
    <w:abstractNumId w:val="29"/>
  </w:num>
  <w:num w:numId="22">
    <w:abstractNumId w:val="33"/>
  </w:num>
  <w:num w:numId="23">
    <w:abstractNumId w:val="37"/>
  </w:num>
  <w:num w:numId="24">
    <w:abstractNumId w:val="26"/>
  </w:num>
  <w:num w:numId="25">
    <w:abstractNumId w:val="5"/>
  </w:num>
  <w:num w:numId="26">
    <w:abstractNumId w:val="38"/>
  </w:num>
  <w:num w:numId="27">
    <w:abstractNumId w:val="27"/>
  </w:num>
  <w:num w:numId="28">
    <w:abstractNumId w:val="28"/>
  </w:num>
  <w:num w:numId="29">
    <w:abstractNumId w:val="9"/>
  </w:num>
  <w:num w:numId="30">
    <w:abstractNumId w:val="32"/>
  </w:num>
  <w:num w:numId="31">
    <w:abstractNumId w:val="20"/>
  </w:num>
  <w:num w:numId="32">
    <w:abstractNumId w:val="39"/>
  </w:num>
  <w:num w:numId="33">
    <w:abstractNumId w:val="23"/>
  </w:num>
  <w:num w:numId="34">
    <w:abstractNumId w:val="34"/>
  </w:num>
  <w:num w:numId="35">
    <w:abstractNumId w:val="14"/>
  </w:num>
  <w:num w:numId="36">
    <w:abstractNumId w:val="6"/>
  </w:num>
  <w:num w:numId="37">
    <w:abstractNumId w:val="10"/>
  </w:num>
  <w:num w:numId="38">
    <w:abstractNumId w:val="22"/>
  </w:num>
  <w:num w:numId="39">
    <w:abstractNumId w:val="2"/>
  </w:num>
  <w:num w:numId="40">
    <w:abstractNumId w:val="15"/>
  </w:num>
  <w:num w:numId="41">
    <w:abstractNumId w:val="21"/>
  </w:num>
  <w:num w:numId="42">
    <w:abstractNumId w:val="13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rawingGridVerticalSpacing w:val="299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BA"/>
    <w:rsid w:val="0000113E"/>
    <w:rsid w:val="00021735"/>
    <w:rsid w:val="00023F14"/>
    <w:rsid w:val="0002414B"/>
    <w:rsid w:val="00056D74"/>
    <w:rsid w:val="00060D34"/>
    <w:rsid w:val="0006361E"/>
    <w:rsid w:val="00081EC3"/>
    <w:rsid w:val="00090F33"/>
    <w:rsid w:val="00093725"/>
    <w:rsid w:val="000961A3"/>
    <w:rsid w:val="000A47D4"/>
    <w:rsid w:val="000B1F92"/>
    <w:rsid w:val="000B4249"/>
    <w:rsid w:val="000B691D"/>
    <w:rsid w:val="000C5D6E"/>
    <w:rsid w:val="000E5F5C"/>
    <w:rsid w:val="000F1125"/>
    <w:rsid w:val="000F3334"/>
    <w:rsid w:val="000F7385"/>
    <w:rsid w:val="00104A46"/>
    <w:rsid w:val="00106BC8"/>
    <w:rsid w:val="00106FF3"/>
    <w:rsid w:val="0011215D"/>
    <w:rsid w:val="00163B88"/>
    <w:rsid w:val="001863A0"/>
    <w:rsid w:val="00195433"/>
    <w:rsid w:val="001A0232"/>
    <w:rsid w:val="001A0F92"/>
    <w:rsid w:val="001B3DA3"/>
    <w:rsid w:val="001C1D4B"/>
    <w:rsid w:val="001C728B"/>
    <w:rsid w:val="002033D5"/>
    <w:rsid w:val="00203559"/>
    <w:rsid w:val="00206EFD"/>
    <w:rsid w:val="0024259C"/>
    <w:rsid w:val="00243C1E"/>
    <w:rsid w:val="00244E1C"/>
    <w:rsid w:val="002519CE"/>
    <w:rsid w:val="00287E6A"/>
    <w:rsid w:val="00292445"/>
    <w:rsid w:val="00294491"/>
    <w:rsid w:val="002B2449"/>
    <w:rsid w:val="002B62F3"/>
    <w:rsid w:val="002D08EB"/>
    <w:rsid w:val="002E2D88"/>
    <w:rsid w:val="002E408C"/>
    <w:rsid w:val="002F2438"/>
    <w:rsid w:val="002F3E02"/>
    <w:rsid w:val="002F63C3"/>
    <w:rsid w:val="00332244"/>
    <w:rsid w:val="003354BA"/>
    <w:rsid w:val="00371D2D"/>
    <w:rsid w:val="00383DF4"/>
    <w:rsid w:val="003934C9"/>
    <w:rsid w:val="003967F7"/>
    <w:rsid w:val="00397884"/>
    <w:rsid w:val="003B65DC"/>
    <w:rsid w:val="003E40CF"/>
    <w:rsid w:val="003F0243"/>
    <w:rsid w:val="003F7480"/>
    <w:rsid w:val="004000B8"/>
    <w:rsid w:val="00401E8C"/>
    <w:rsid w:val="0040459D"/>
    <w:rsid w:val="004106E6"/>
    <w:rsid w:val="004118F1"/>
    <w:rsid w:val="00414B47"/>
    <w:rsid w:val="0045076B"/>
    <w:rsid w:val="004666C8"/>
    <w:rsid w:val="00474349"/>
    <w:rsid w:val="004772AB"/>
    <w:rsid w:val="004A5CBA"/>
    <w:rsid w:val="004B1A96"/>
    <w:rsid w:val="004B7FAB"/>
    <w:rsid w:val="004C4D6C"/>
    <w:rsid w:val="004C557B"/>
    <w:rsid w:val="004D17CE"/>
    <w:rsid w:val="005000FF"/>
    <w:rsid w:val="005119F2"/>
    <w:rsid w:val="00516516"/>
    <w:rsid w:val="00520805"/>
    <w:rsid w:val="00533096"/>
    <w:rsid w:val="0056096F"/>
    <w:rsid w:val="00562E1E"/>
    <w:rsid w:val="00574CF9"/>
    <w:rsid w:val="005B03CB"/>
    <w:rsid w:val="005B60FE"/>
    <w:rsid w:val="005B6E7D"/>
    <w:rsid w:val="005C14ED"/>
    <w:rsid w:val="005C4931"/>
    <w:rsid w:val="005D3CFE"/>
    <w:rsid w:val="005D6E09"/>
    <w:rsid w:val="005E23C6"/>
    <w:rsid w:val="005E5ADE"/>
    <w:rsid w:val="00604199"/>
    <w:rsid w:val="006104C5"/>
    <w:rsid w:val="006142F3"/>
    <w:rsid w:val="006242E4"/>
    <w:rsid w:val="00634DA7"/>
    <w:rsid w:val="00653B69"/>
    <w:rsid w:val="00665F18"/>
    <w:rsid w:val="00671013"/>
    <w:rsid w:val="00682206"/>
    <w:rsid w:val="00682FBA"/>
    <w:rsid w:val="006B704A"/>
    <w:rsid w:val="006C3669"/>
    <w:rsid w:val="006E382F"/>
    <w:rsid w:val="007160A8"/>
    <w:rsid w:val="0074623E"/>
    <w:rsid w:val="00780935"/>
    <w:rsid w:val="0078437C"/>
    <w:rsid w:val="007846E6"/>
    <w:rsid w:val="00787E1B"/>
    <w:rsid w:val="007903C1"/>
    <w:rsid w:val="007923C1"/>
    <w:rsid w:val="007A0408"/>
    <w:rsid w:val="007A0B9B"/>
    <w:rsid w:val="007A31F3"/>
    <w:rsid w:val="007B0E1E"/>
    <w:rsid w:val="007B22A5"/>
    <w:rsid w:val="007B58C5"/>
    <w:rsid w:val="007C56B6"/>
    <w:rsid w:val="007D5952"/>
    <w:rsid w:val="007D71AD"/>
    <w:rsid w:val="007E4A4B"/>
    <w:rsid w:val="007F6BAA"/>
    <w:rsid w:val="0080353E"/>
    <w:rsid w:val="008250B6"/>
    <w:rsid w:val="00836C4A"/>
    <w:rsid w:val="0085212D"/>
    <w:rsid w:val="00852645"/>
    <w:rsid w:val="008553CC"/>
    <w:rsid w:val="00871A51"/>
    <w:rsid w:val="008B5223"/>
    <w:rsid w:val="00904B5A"/>
    <w:rsid w:val="00915F9B"/>
    <w:rsid w:val="00954831"/>
    <w:rsid w:val="00972788"/>
    <w:rsid w:val="0098752D"/>
    <w:rsid w:val="009A20CB"/>
    <w:rsid w:val="009B285A"/>
    <w:rsid w:val="009C2C94"/>
    <w:rsid w:val="009C343F"/>
    <w:rsid w:val="009E169A"/>
    <w:rsid w:val="00A076EA"/>
    <w:rsid w:val="00A528D2"/>
    <w:rsid w:val="00A566CA"/>
    <w:rsid w:val="00A9389D"/>
    <w:rsid w:val="00AA18DE"/>
    <w:rsid w:val="00AA2C58"/>
    <w:rsid w:val="00AD0E71"/>
    <w:rsid w:val="00AE5EE5"/>
    <w:rsid w:val="00AE6389"/>
    <w:rsid w:val="00AF009A"/>
    <w:rsid w:val="00B10869"/>
    <w:rsid w:val="00B14074"/>
    <w:rsid w:val="00B17393"/>
    <w:rsid w:val="00B228B3"/>
    <w:rsid w:val="00B43924"/>
    <w:rsid w:val="00B543E8"/>
    <w:rsid w:val="00BB2E6A"/>
    <w:rsid w:val="00BB305D"/>
    <w:rsid w:val="00BB4FCF"/>
    <w:rsid w:val="00BC6BF6"/>
    <w:rsid w:val="00BD3583"/>
    <w:rsid w:val="00BD63A7"/>
    <w:rsid w:val="00BD7F32"/>
    <w:rsid w:val="00BE0064"/>
    <w:rsid w:val="00BE15F3"/>
    <w:rsid w:val="00C032E8"/>
    <w:rsid w:val="00C25F29"/>
    <w:rsid w:val="00C305D7"/>
    <w:rsid w:val="00C3337E"/>
    <w:rsid w:val="00C40904"/>
    <w:rsid w:val="00C52CD7"/>
    <w:rsid w:val="00C679F0"/>
    <w:rsid w:val="00C71081"/>
    <w:rsid w:val="00C82E78"/>
    <w:rsid w:val="00C962C1"/>
    <w:rsid w:val="00CA391C"/>
    <w:rsid w:val="00CB483A"/>
    <w:rsid w:val="00CC100B"/>
    <w:rsid w:val="00CC1118"/>
    <w:rsid w:val="00CD2E3B"/>
    <w:rsid w:val="00CE425F"/>
    <w:rsid w:val="00CF0C28"/>
    <w:rsid w:val="00D01FB9"/>
    <w:rsid w:val="00D052A0"/>
    <w:rsid w:val="00D31676"/>
    <w:rsid w:val="00D63BE4"/>
    <w:rsid w:val="00D63D0D"/>
    <w:rsid w:val="00D8250C"/>
    <w:rsid w:val="00D9495E"/>
    <w:rsid w:val="00DA16A2"/>
    <w:rsid w:val="00DA18BD"/>
    <w:rsid w:val="00DA1EDF"/>
    <w:rsid w:val="00DA582C"/>
    <w:rsid w:val="00DC646F"/>
    <w:rsid w:val="00DD00F2"/>
    <w:rsid w:val="00DE2D3A"/>
    <w:rsid w:val="00DF6D0D"/>
    <w:rsid w:val="00DF7DB1"/>
    <w:rsid w:val="00E1250A"/>
    <w:rsid w:val="00E15A10"/>
    <w:rsid w:val="00E17139"/>
    <w:rsid w:val="00E20F77"/>
    <w:rsid w:val="00E24827"/>
    <w:rsid w:val="00E3561B"/>
    <w:rsid w:val="00E45139"/>
    <w:rsid w:val="00E526B8"/>
    <w:rsid w:val="00E53BB3"/>
    <w:rsid w:val="00E657FD"/>
    <w:rsid w:val="00E8112A"/>
    <w:rsid w:val="00E81736"/>
    <w:rsid w:val="00E826E4"/>
    <w:rsid w:val="00EA0D9B"/>
    <w:rsid w:val="00EB1CAF"/>
    <w:rsid w:val="00EB4892"/>
    <w:rsid w:val="00EC1531"/>
    <w:rsid w:val="00EC1DE5"/>
    <w:rsid w:val="00ED6B76"/>
    <w:rsid w:val="00EE7956"/>
    <w:rsid w:val="00EF2700"/>
    <w:rsid w:val="00F138B3"/>
    <w:rsid w:val="00F22519"/>
    <w:rsid w:val="00F36AAA"/>
    <w:rsid w:val="00F4319C"/>
    <w:rsid w:val="00F5222A"/>
    <w:rsid w:val="00F82650"/>
    <w:rsid w:val="00F97A2D"/>
    <w:rsid w:val="00FD45ED"/>
    <w:rsid w:val="00FD4B96"/>
    <w:rsid w:val="00FE3222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225270"/>
  <w15:docId w15:val="{9B878D33-0083-405B-B2D9-3FD37915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keepLines/>
      <w:pageBreakBefore/>
      <w:widowControl w:val="0"/>
      <w:tabs>
        <w:tab w:val="right" w:pos="9356"/>
      </w:tabs>
      <w:spacing w:before="240" w:after="240"/>
      <w:jc w:val="right"/>
      <w:outlineLvl w:val="0"/>
    </w:pPr>
    <w:rPr>
      <w:rFonts w:ascii="Arial Narrow" w:hAnsi="Arial Narrow"/>
      <w:smallCaps/>
      <w:sz w:val="36"/>
      <w:szCs w:val="20"/>
      <w:lang w:val="en-GB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0"/>
      <w:szCs w:val="20"/>
      <w:lang w:val="ru-R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20"/>
      <w:szCs w:val="20"/>
      <w:lang w:val="ru-RU"/>
    </w:rPr>
  </w:style>
  <w:style w:type="paragraph" w:styleId="Heading4">
    <w:name w:val="heading 4"/>
    <w:basedOn w:val="Normal"/>
    <w:next w:val="Normal"/>
    <w:qFormat/>
    <w:pPr>
      <w:keepNext/>
      <w:widowControl w:val="0"/>
      <w:outlineLvl w:val="3"/>
    </w:pPr>
    <w:rPr>
      <w:rFonts w:ascii="Arial Narrow" w:hAnsi="Arial Narrow"/>
      <w:b/>
      <w:szCs w:val="20"/>
      <w:lang w:val="en-GB"/>
    </w:rPr>
  </w:style>
  <w:style w:type="paragraph" w:styleId="Heading5">
    <w:name w:val="heading 5"/>
    <w:basedOn w:val="Normal"/>
    <w:next w:val="Normal"/>
    <w:qFormat/>
    <w:pPr>
      <w:keepNext/>
      <w:widowControl w:val="0"/>
      <w:outlineLvl w:val="4"/>
    </w:pPr>
    <w:rPr>
      <w:b/>
      <w:sz w:val="24"/>
      <w:szCs w:val="20"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120"/>
      <w:jc w:val="both"/>
      <w:outlineLvl w:val="5"/>
    </w:pPr>
    <w:rPr>
      <w:b/>
      <w:bCs/>
      <w:sz w:val="20"/>
      <w:szCs w:val="20"/>
      <w:lang w:val="ru-RU"/>
    </w:rPr>
  </w:style>
  <w:style w:type="paragraph" w:styleId="Heading7">
    <w:name w:val="heading 7"/>
    <w:basedOn w:val="Normal"/>
    <w:next w:val="Normal"/>
    <w:qFormat/>
    <w:pPr>
      <w:keepNext/>
      <w:framePr w:hSpace="180" w:wrap="around" w:vAnchor="text" w:hAnchor="page" w:x="1882" w:y="79"/>
      <w:ind w:right="-499"/>
      <w:outlineLvl w:val="6"/>
    </w:pPr>
    <w:rPr>
      <w:rFonts w:ascii="Arial" w:hAnsi="Arial" w:cs="Arial"/>
      <w:b/>
      <w:color w:val="000000"/>
      <w:sz w:val="18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Cs w:val="20"/>
      <w:lang w:val="ru-RU"/>
    </w:rPr>
  </w:style>
  <w:style w:type="paragraph" w:styleId="BodyText2">
    <w:name w:val="Body Text 2"/>
    <w:basedOn w:val="Normal"/>
    <w:semiHidden/>
    <w:pPr>
      <w:ind w:right="49"/>
      <w:jc w:val="both"/>
    </w:pPr>
    <w:rPr>
      <w:szCs w:val="20"/>
      <w:lang w:val="ru-RU"/>
    </w:rPr>
  </w:style>
  <w:style w:type="paragraph" w:styleId="BodyText">
    <w:name w:val="Body Text"/>
    <w:basedOn w:val="Normal"/>
    <w:semiHidden/>
    <w:rPr>
      <w:szCs w:val="20"/>
      <w:lang w:val="ru-RU"/>
    </w:rPr>
  </w:style>
  <w:style w:type="paragraph" w:customStyle="1" w:styleId="Bodymain">
    <w:name w:val="Body main"/>
    <w:basedOn w:val="Normal"/>
    <w:pPr>
      <w:widowControl w:val="0"/>
      <w:spacing w:after="120"/>
      <w:jc w:val="both"/>
    </w:pPr>
    <w:rPr>
      <w:rFonts w:ascii="Arial Narrow" w:hAnsi="Arial Narrow"/>
      <w:szCs w:val="20"/>
      <w:lang w:val="en-AU"/>
    </w:rPr>
  </w:style>
  <w:style w:type="paragraph" w:styleId="BodyText3">
    <w:name w:val="Body Text 3"/>
    <w:basedOn w:val="Normal"/>
    <w:semiHidden/>
    <w:pPr>
      <w:jc w:val="both"/>
    </w:pPr>
    <w:rPr>
      <w:szCs w:val="20"/>
      <w:lang w:val="ru-RU"/>
    </w:rPr>
  </w:style>
  <w:style w:type="paragraph" w:styleId="FootnoteText">
    <w:name w:val="footnote text"/>
    <w:basedOn w:val="Normal"/>
    <w:semiHidden/>
    <w:rPr>
      <w:sz w:val="20"/>
      <w:szCs w:val="20"/>
      <w:lang w:val="en-GB"/>
    </w:rPr>
  </w:style>
  <w:style w:type="paragraph" w:styleId="Header">
    <w:name w:val="header"/>
    <w:basedOn w:val="Normal"/>
    <w:semiHidden/>
    <w:pPr>
      <w:widowControl w:val="0"/>
      <w:tabs>
        <w:tab w:val="center" w:pos="4153"/>
        <w:tab w:val="right" w:pos="8306"/>
      </w:tabs>
    </w:pPr>
    <w:rPr>
      <w:szCs w:val="20"/>
      <w:lang w:val="en-GB"/>
    </w:rPr>
  </w:style>
  <w:style w:type="paragraph" w:styleId="Footer">
    <w:name w:val="footer"/>
    <w:basedOn w:val="Normal"/>
    <w:semiHidden/>
    <w:pPr>
      <w:widowControl w:val="0"/>
      <w:tabs>
        <w:tab w:val="center" w:pos="4153"/>
        <w:tab w:val="right" w:pos="8306"/>
      </w:tabs>
    </w:pPr>
    <w:rPr>
      <w:szCs w:val="20"/>
      <w:lang w:val="en-GB"/>
    </w:rPr>
  </w:style>
  <w:style w:type="paragraph" w:customStyle="1" w:styleId="Bodynumbered11">
    <w:name w:val="Body numbered 1.1"/>
    <w:basedOn w:val="Heading2"/>
    <w:pPr>
      <w:keepLines/>
      <w:widowControl w:val="0"/>
      <w:tabs>
        <w:tab w:val="left" w:pos="792"/>
      </w:tabs>
      <w:spacing w:before="80" w:after="40"/>
      <w:ind w:left="792" w:hanging="432"/>
      <w:jc w:val="both"/>
      <w:outlineLvl w:val="9"/>
    </w:pPr>
    <w:rPr>
      <w:rFonts w:ascii="Arial Narrow" w:hAnsi="Arial Narrow"/>
      <w:b/>
      <w:sz w:val="22"/>
      <w:lang w:val="en-GB"/>
    </w:rPr>
  </w:style>
  <w:style w:type="paragraph" w:customStyle="1" w:styleId="Bodybulleted">
    <w:name w:val="Body bulleted"/>
    <w:basedOn w:val="Normal"/>
    <w:pPr>
      <w:widowControl w:val="0"/>
      <w:tabs>
        <w:tab w:val="left" w:pos="360"/>
        <w:tab w:val="left" w:pos="720"/>
      </w:tabs>
      <w:spacing w:after="120"/>
      <w:ind w:left="360" w:hanging="360"/>
      <w:jc w:val="both"/>
    </w:pPr>
    <w:rPr>
      <w:rFonts w:ascii="Arial Narrow" w:hAnsi="Arial Narrow"/>
      <w:sz w:val="20"/>
      <w:szCs w:val="20"/>
      <w:lang w:val="en-GB"/>
    </w:rPr>
  </w:style>
  <w:style w:type="paragraph" w:customStyle="1" w:styleId="Bodycomment">
    <w:name w:val="Body comment"/>
    <w:basedOn w:val="Header"/>
    <w:pPr>
      <w:tabs>
        <w:tab w:val="clear" w:pos="4153"/>
        <w:tab w:val="clear" w:pos="8306"/>
      </w:tabs>
      <w:spacing w:before="80" w:after="40"/>
      <w:ind w:left="788"/>
      <w:jc w:val="both"/>
    </w:pPr>
    <w:rPr>
      <w:rFonts w:ascii="Arial Narrow" w:hAnsi="Arial Narrow"/>
      <w:i/>
    </w:rPr>
  </w:style>
  <w:style w:type="paragraph" w:customStyle="1" w:styleId="Bodynumbered111">
    <w:name w:val="Body numbered 1.1.1"/>
    <w:basedOn w:val="Bodynumbered11"/>
    <w:pPr>
      <w:keepNext w:val="0"/>
      <w:tabs>
        <w:tab w:val="clear" w:pos="792"/>
        <w:tab w:val="left" w:pos="1224"/>
        <w:tab w:val="left" w:pos="1355"/>
      </w:tabs>
      <w:spacing w:before="60" w:after="20"/>
      <w:ind w:left="1224" w:hanging="504"/>
    </w:pPr>
    <w:rPr>
      <w:b w:val="0"/>
    </w:rPr>
  </w:style>
  <w:style w:type="paragraph" w:customStyle="1" w:styleId="Bodybulletedminor">
    <w:name w:val="Body bulleted minor"/>
    <w:basedOn w:val="Bodybulleted"/>
    <w:pPr>
      <w:tabs>
        <w:tab w:val="left" w:pos="1627"/>
      </w:tabs>
      <w:spacing w:after="60"/>
    </w:pPr>
    <w:rPr>
      <w:sz w:val="22"/>
    </w:rPr>
  </w:style>
  <w:style w:type="paragraph" w:customStyle="1" w:styleId="Separator">
    <w:name w:val="Separator"/>
    <w:basedOn w:val="Bodymain"/>
    <w:pPr>
      <w:spacing w:after="0"/>
      <w:ind w:left="993" w:hanging="993"/>
    </w:pPr>
    <w:rPr>
      <w:sz w:val="16"/>
      <w:lang w:val="en-GB"/>
    </w:rPr>
  </w:style>
  <w:style w:type="paragraph" w:customStyle="1" w:styleId="Bodynum111inTable">
    <w:name w:val="Body num 1.1.1 in Table"/>
    <w:basedOn w:val="Bodynumbered111"/>
    <w:pPr>
      <w:tabs>
        <w:tab w:val="clear" w:pos="1224"/>
        <w:tab w:val="clear" w:pos="1355"/>
      </w:tabs>
      <w:spacing w:before="20"/>
      <w:ind w:left="57" w:hanging="567"/>
      <w:jc w:val="left"/>
    </w:pPr>
    <w:rPr>
      <w:sz w:val="20"/>
    </w:rPr>
  </w:style>
  <w:style w:type="paragraph" w:customStyle="1" w:styleId="Bodynum111LeftinTable">
    <w:name w:val="Body num 1.1.1 Left in Table"/>
    <w:basedOn w:val="Bodynumbered111"/>
    <w:pPr>
      <w:tabs>
        <w:tab w:val="clear" w:pos="1355"/>
        <w:tab w:val="left" w:pos="629"/>
        <w:tab w:val="left" w:pos="1055"/>
      </w:tabs>
      <w:spacing w:before="20"/>
      <w:jc w:val="left"/>
    </w:pPr>
    <w:rPr>
      <w:sz w:val="20"/>
    </w:rPr>
  </w:style>
  <w:style w:type="paragraph" w:styleId="Caption">
    <w:name w:val="caption"/>
    <w:basedOn w:val="Normal"/>
    <w:next w:val="Normal"/>
    <w:qFormat/>
    <w:pPr>
      <w:widowControl w:val="0"/>
      <w:spacing w:before="120" w:after="120"/>
    </w:pPr>
    <w:rPr>
      <w:b/>
      <w:szCs w:val="20"/>
      <w:lang w:val="en-GB"/>
    </w:rPr>
  </w:style>
  <w:style w:type="paragraph" w:customStyle="1" w:styleId="CaptionAnnex">
    <w:name w:val="Caption Annex"/>
    <w:basedOn w:val="Caption"/>
    <w:pPr>
      <w:jc w:val="right"/>
    </w:pPr>
    <w:rPr>
      <w:rFonts w:ascii="Arial Narrow" w:hAnsi="Arial Narrow"/>
      <w:sz w:val="26"/>
      <w:u w:val="single"/>
    </w:rPr>
  </w:style>
  <w:style w:type="paragraph" w:styleId="TOC1">
    <w:name w:val="toc 1"/>
    <w:basedOn w:val="Normal"/>
    <w:next w:val="Normal"/>
    <w:semiHidden/>
    <w:pPr>
      <w:widowControl w:val="0"/>
      <w:tabs>
        <w:tab w:val="left" w:pos="851"/>
        <w:tab w:val="right" w:leader="dot" w:pos="9344"/>
      </w:tabs>
      <w:ind w:left="851" w:hanging="851"/>
    </w:pPr>
    <w:rPr>
      <w:sz w:val="20"/>
      <w:szCs w:val="20"/>
      <w:lang w:val="en-GB"/>
    </w:rPr>
  </w:style>
  <w:style w:type="paragraph" w:styleId="TOC4">
    <w:name w:val="toc 4"/>
    <w:basedOn w:val="Normal"/>
    <w:next w:val="Normal"/>
    <w:semiHidden/>
    <w:pPr>
      <w:widowControl w:val="0"/>
      <w:ind w:left="660"/>
    </w:pPr>
    <w:rPr>
      <w:szCs w:val="20"/>
      <w:lang w:val="en-GB"/>
    </w:rPr>
  </w:style>
  <w:style w:type="paragraph" w:styleId="TOC2">
    <w:name w:val="toc 2"/>
    <w:basedOn w:val="Normal"/>
    <w:next w:val="Normal"/>
    <w:semiHidden/>
    <w:pPr>
      <w:widowControl w:val="0"/>
      <w:ind w:left="220"/>
    </w:pPr>
    <w:rPr>
      <w:szCs w:val="20"/>
      <w:lang w:val="en-GB"/>
    </w:rPr>
  </w:style>
  <w:style w:type="paragraph" w:styleId="TOC3">
    <w:name w:val="toc 3"/>
    <w:basedOn w:val="Normal"/>
    <w:next w:val="Normal"/>
    <w:semiHidden/>
    <w:pPr>
      <w:widowControl w:val="0"/>
      <w:ind w:left="440"/>
    </w:pPr>
    <w:rPr>
      <w:szCs w:val="20"/>
      <w:lang w:val="en-GB"/>
    </w:rPr>
  </w:style>
  <w:style w:type="paragraph" w:styleId="TOC5">
    <w:name w:val="toc 5"/>
    <w:basedOn w:val="Normal"/>
    <w:next w:val="Normal"/>
    <w:semiHidden/>
    <w:pPr>
      <w:widowControl w:val="0"/>
      <w:ind w:left="880"/>
    </w:pPr>
    <w:rPr>
      <w:szCs w:val="20"/>
      <w:lang w:val="en-GB"/>
    </w:rPr>
  </w:style>
  <w:style w:type="paragraph" w:styleId="TOC6">
    <w:name w:val="toc 6"/>
    <w:basedOn w:val="Normal"/>
    <w:next w:val="Normal"/>
    <w:semiHidden/>
    <w:pPr>
      <w:widowControl w:val="0"/>
      <w:ind w:left="1100"/>
    </w:pPr>
    <w:rPr>
      <w:szCs w:val="20"/>
      <w:lang w:val="en-GB"/>
    </w:rPr>
  </w:style>
  <w:style w:type="paragraph" w:styleId="TOC7">
    <w:name w:val="toc 7"/>
    <w:basedOn w:val="Normal"/>
    <w:next w:val="Normal"/>
    <w:semiHidden/>
    <w:pPr>
      <w:widowControl w:val="0"/>
      <w:ind w:left="1320"/>
    </w:pPr>
    <w:rPr>
      <w:szCs w:val="20"/>
      <w:lang w:val="en-GB"/>
    </w:rPr>
  </w:style>
  <w:style w:type="paragraph" w:styleId="TOC8">
    <w:name w:val="toc 8"/>
    <w:basedOn w:val="Normal"/>
    <w:next w:val="Normal"/>
    <w:semiHidden/>
    <w:pPr>
      <w:widowControl w:val="0"/>
      <w:ind w:left="1540"/>
    </w:pPr>
    <w:rPr>
      <w:szCs w:val="20"/>
      <w:lang w:val="en-GB"/>
    </w:rPr>
  </w:style>
  <w:style w:type="paragraph" w:styleId="TOC9">
    <w:name w:val="toc 9"/>
    <w:basedOn w:val="Normal"/>
    <w:next w:val="Normal"/>
    <w:semiHidden/>
    <w:pPr>
      <w:widowControl w:val="0"/>
      <w:ind w:left="1760"/>
    </w:pPr>
    <w:rPr>
      <w:szCs w:val="20"/>
      <w:lang w:val="en-GB"/>
    </w:rPr>
  </w:style>
  <w:style w:type="paragraph" w:styleId="BodyTextIndent">
    <w:name w:val="Body Text Indent"/>
    <w:basedOn w:val="Normal"/>
    <w:semiHidden/>
    <w:pPr>
      <w:widowControl w:val="0"/>
      <w:ind w:left="1440" w:hanging="1440"/>
    </w:pPr>
    <w:rPr>
      <w:rFonts w:ascii="Arial" w:hAnsi="Arial" w:cs="Arial"/>
      <w:sz w:val="18"/>
      <w:szCs w:val="20"/>
      <w:lang w:val="ru-RU"/>
    </w:rPr>
  </w:style>
  <w:style w:type="paragraph" w:styleId="BalloonText">
    <w:name w:val="Balloon Text"/>
    <w:basedOn w:val="Normal"/>
    <w:semiHidden/>
    <w:pPr>
      <w:widowControl w:val="0"/>
    </w:pPr>
    <w:rPr>
      <w:rFonts w:ascii="Tahoma" w:hAnsi="Tahoma" w:cs="Tahoma"/>
      <w:sz w:val="16"/>
      <w:szCs w:val="16"/>
      <w:lang w:val="en-GB"/>
    </w:rPr>
  </w:style>
  <w:style w:type="paragraph" w:styleId="BodyTextIndent2">
    <w:name w:val="Body Text Indent 2"/>
    <w:basedOn w:val="Normal"/>
    <w:semiHidden/>
    <w:pPr>
      <w:widowControl w:val="0"/>
      <w:ind w:firstLineChars="270" w:firstLine="540"/>
      <w:jc w:val="both"/>
    </w:pPr>
    <w:rPr>
      <w:rFonts w:ascii="Arial" w:hAnsi="Arial" w:cs="Arial"/>
      <w:sz w:val="20"/>
      <w:szCs w:val="20"/>
      <w:lang w:val="ru-RU"/>
    </w:rPr>
  </w:style>
  <w:style w:type="paragraph" w:styleId="BodyTextIndent3">
    <w:name w:val="Body Text Indent 3"/>
    <w:basedOn w:val="Normal"/>
    <w:semiHidden/>
    <w:pPr>
      <w:widowControl w:val="0"/>
      <w:ind w:left="540"/>
      <w:jc w:val="both"/>
    </w:pPr>
    <w:rPr>
      <w:rFonts w:ascii="Arial" w:hAnsi="Arial" w:cs="Arial"/>
      <w:sz w:val="20"/>
      <w:szCs w:val="20"/>
      <w:lang w:val="ru-RU"/>
    </w:rPr>
  </w:style>
  <w:style w:type="paragraph" w:styleId="ListParagraph">
    <w:name w:val="List Paragraph"/>
    <w:basedOn w:val="Normal"/>
    <w:uiPriority w:val="34"/>
    <w:qFormat/>
    <w:rsid w:val="00E15A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43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3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34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3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34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5175B-9790-4174-B1BF-C1156177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 and card accounts interest rates</vt:lpstr>
    </vt:vector>
  </TitlesOfParts>
  <Company>UniCredit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 and card accounts interest rates</dc:title>
  <dc:subject/>
  <dc:creator>ECRSUdod</dc:creator>
  <cp:keywords/>
  <cp:lastModifiedBy>Denis V Panfilov</cp:lastModifiedBy>
  <cp:revision>4</cp:revision>
  <cp:lastPrinted>2012-09-14T09:37:00Z</cp:lastPrinted>
  <dcterms:created xsi:type="dcterms:W3CDTF">2024-06-28T12:36:00Z</dcterms:created>
  <dcterms:modified xsi:type="dcterms:W3CDTF">2024-06-28T12:39:00Z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e5f03d-54b3-43b0-adcd-b16af3781d27_Enabled">
    <vt:lpwstr>true</vt:lpwstr>
  </property>
  <property fmtid="{D5CDD505-2E9C-101B-9397-08002B2CF9AE}" pid="3" name="MSIP_Label_91e5f03d-54b3-43b0-adcd-b16af3781d27_SetDate">
    <vt:lpwstr>2024-02-13T11:41:42Z</vt:lpwstr>
  </property>
  <property fmtid="{D5CDD505-2E9C-101B-9397-08002B2CF9AE}" pid="4" name="MSIP_Label_91e5f03d-54b3-43b0-adcd-b16af3781d27_Method">
    <vt:lpwstr>Privileged</vt:lpwstr>
  </property>
  <property fmtid="{D5CDD505-2E9C-101B-9397-08002B2CF9AE}" pid="5" name="MSIP_Label_91e5f03d-54b3-43b0-adcd-b16af3781d27_Name">
    <vt:lpwstr>Public</vt:lpwstr>
  </property>
  <property fmtid="{D5CDD505-2E9C-101B-9397-08002B2CF9AE}" pid="6" name="MSIP_Label_91e5f03d-54b3-43b0-adcd-b16af3781d27_SiteId">
    <vt:lpwstr>a20fb759-ceb3-450e-b082-465fb6c24aeb</vt:lpwstr>
  </property>
  <property fmtid="{D5CDD505-2E9C-101B-9397-08002B2CF9AE}" pid="7" name="MSIP_Label_91e5f03d-54b3-43b0-adcd-b16af3781d27_ActionId">
    <vt:lpwstr>c7e347e5-f66d-45cf-b65d-a0824a72ff23</vt:lpwstr>
  </property>
  <property fmtid="{D5CDD505-2E9C-101B-9397-08002B2CF9AE}" pid="8" name="MSIP_Label_91e5f03d-54b3-43b0-adcd-b16af3781d27_ContentBits">
    <vt:lpwstr>1</vt:lpwstr>
  </property>
</Properties>
</file>